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77B2" w:rsidRPr="002177B2" w:rsidRDefault="002177B2" w:rsidP="002177B2">
      <w:pPr>
        <w:keepNext/>
        <w:keepLines/>
        <w:spacing w:before="320" w:after="40" w:line="252" w:lineRule="auto"/>
        <w:jc w:val="center"/>
        <w:outlineLvl w:val="0"/>
        <w:rPr>
          <w:rFonts w:ascii="Arial" w:eastAsia="SimSun" w:hAnsi="Arial" w:cs="Times New Roman"/>
          <w:b/>
          <w:bCs/>
          <w:caps/>
          <w:spacing w:val="4"/>
          <w:sz w:val="28"/>
          <w:szCs w:val="28"/>
          <w:lang w:val="en-GB" w:eastAsia="en-GB"/>
        </w:rPr>
      </w:pPr>
      <w:bookmarkStart w:id="0" w:name="_Toc428258324"/>
      <w:r w:rsidRPr="002177B2">
        <w:rPr>
          <w:rFonts w:ascii="Arial" w:eastAsia="SimSun" w:hAnsi="Arial" w:cs="Times New Roman"/>
          <w:b/>
          <w:bCs/>
          <w:caps/>
          <w:spacing w:val="4"/>
          <w:sz w:val="28"/>
          <w:szCs w:val="28"/>
          <w:lang w:val="en-GB" w:eastAsia="en-GB"/>
        </w:rPr>
        <w:t>COPPER HILL PROJECT: INTEGRATION OF TRADITIONAL GEOLOGY AND NEW TECHNOLOGIES TO BUILD A DEPOSIT MODEL</w:t>
      </w:r>
      <w:bookmarkEnd w:id="0"/>
    </w:p>
    <w:p w:rsidR="002177B2" w:rsidRPr="002177B2" w:rsidRDefault="002177B2" w:rsidP="002177B2">
      <w:pPr>
        <w:rPr>
          <w:rFonts w:ascii="Arial" w:eastAsia="Calibri" w:hAnsi="Arial" w:cs="Arial"/>
          <w:b/>
          <w:sz w:val="20"/>
          <w:szCs w:val="24"/>
          <w:vertAlign w:val="superscript"/>
        </w:rPr>
      </w:pPr>
      <w:bookmarkStart w:id="1" w:name="_Toc428258325"/>
      <w:r w:rsidRPr="002177B2">
        <w:rPr>
          <w:rFonts w:ascii="Arial" w:eastAsia="Calibri" w:hAnsi="Arial" w:cs="Arial"/>
          <w:b/>
          <w:sz w:val="20"/>
          <w:szCs w:val="24"/>
        </w:rPr>
        <w:t>Stuart Hayward</w:t>
      </w:r>
      <w:r w:rsidRPr="002177B2">
        <w:rPr>
          <w:rFonts w:ascii="Arial" w:eastAsia="Calibri" w:hAnsi="Arial" w:cs="Arial"/>
          <w:b/>
          <w:sz w:val="20"/>
          <w:szCs w:val="24"/>
          <w:vertAlign w:val="superscript"/>
        </w:rPr>
        <w:t xml:space="preserve"> (1)</w:t>
      </w:r>
      <w:r w:rsidRPr="002177B2">
        <w:rPr>
          <w:rFonts w:ascii="Arial" w:eastAsia="Calibri" w:hAnsi="Arial" w:cs="Arial"/>
          <w:b/>
          <w:sz w:val="20"/>
          <w:szCs w:val="24"/>
        </w:rPr>
        <w:t xml:space="preserve">, Glenn </w:t>
      </w:r>
      <w:proofErr w:type="spellStart"/>
      <w:r w:rsidRPr="002177B2">
        <w:rPr>
          <w:rFonts w:ascii="Arial" w:eastAsia="Calibri" w:hAnsi="Arial" w:cs="Arial"/>
          <w:b/>
          <w:sz w:val="20"/>
          <w:szCs w:val="24"/>
        </w:rPr>
        <w:t>Coianiz</w:t>
      </w:r>
      <w:proofErr w:type="spellEnd"/>
      <w:r w:rsidRPr="002177B2">
        <w:rPr>
          <w:rFonts w:ascii="Arial" w:eastAsia="Calibri" w:hAnsi="Arial" w:cs="Arial"/>
          <w:b/>
          <w:sz w:val="20"/>
          <w:szCs w:val="24"/>
          <w:vertAlign w:val="superscript"/>
        </w:rPr>
        <w:t xml:space="preserve"> (2)</w:t>
      </w:r>
      <w:r w:rsidRPr="002177B2">
        <w:rPr>
          <w:rFonts w:ascii="Arial" w:eastAsia="Calibri" w:hAnsi="Arial" w:cs="Arial"/>
          <w:b/>
          <w:sz w:val="20"/>
          <w:szCs w:val="24"/>
        </w:rPr>
        <w:t>, Bret Ferris</w:t>
      </w:r>
      <w:r w:rsidRPr="002177B2">
        <w:rPr>
          <w:rFonts w:ascii="Arial" w:eastAsia="Calibri" w:hAnsi="Arial" w:cs="Arial"/>
          <w:b/>
          <w:sz w:val="20"/>
          <w:szCs w:val="24"/>
          <w:vertAlign w:val="superscript"/>
        </w:rPr>
        <w:t xml:space="preserve"> (3)</w:t>
      </w:r>
      <w:r w:rsidRPr="002177B2">
        <w:rPr>
          <w:rFonts w:ascii="Arial" w:eastAsia="Calibri" w:hAnsi="Arial" w:cs="Arial"/>
          <w:b/>
          <w:sz w:val="20"/>
          <w:szCs w:val="24"/>
        </w:rPr>
        <w:t>, Greg Corbett</w:t>
      </w:r>
      <w:r w:rsidRPr="002177B2">
        <w:rPr>
          <w:rFonts w:ascii="Arial" w:eastAsia="Calibri" w:hAnsi="Arial" w:cs="Arial"/>
          <w:b/>
          <w:sz w:val="20"/>
          <w:szCs w:val="24"/>
          <w:vertAlign w:val="superscript"/>
        </w:rPr>
        <w:t xml:space="preserve"> (4)</w:t>
      </w:r>
      <w:bookmarkEnd w:id="1"/>
    </w:p>
    <w:p w:rsidR="002177B2" w:rsidRPr="002177B2" w:rsidRDefault="002177B2" w:rsidP="002177B2">
      <w:pPr>
        <w:numPr>
          <w:ilvl w:val="0"/>
          <w:numId w:val="1"/>
        </w:numPr>
        <w:spacing w:after="160" w:line="259"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360 Geoscience Pty Ltd/ CMC Geos, PO Box 779 Kenmore QLD 4069 AUSTRALIA</w:t>
      </w:r>
    </w:p>
    <w:p w:rsidR="002177B2" w:rsidRPr="002177B2" w:rsidRDefault="002177B2" w:rsidP="002177B2">
      <w:pPr>
        <w:numPr>
          <w:ilvl w:val="0"/>
          <w:numId w:val="1"/>
        </w:numPr>
        <w:spacing w:after="160" w:line="259" w:lineRule="auto"/>
        <w:jc w:val="both"/>
        <w:rPr>
          <w:rFonts w:ascii="Arial" w:eastAsia="Times New Roman" w:hAnsi="Arial" w:cs="Arial"/>
          <w:sz w:val="20"/>
          <w:szCs w:val="20"/>
          <w:lang w:val="en-GB" w:eastAsia="en-GB"/>
        </w:rPr>
      </w:pPr>
      <w:proofErr w:type="spellStart"/>
      <w:r w:rsidRPr="002177B2">
        <w:rPr>
          <w:rFonts w:ascii="Arial" w:eastAsia="Times New Roman" w:hAnsi="Arial" w:cs="Arial"/>
          <w:sz w:val="20"/>
          <w:szCs w:val="20"/>
          <w:lang w:val="en-GB" w:eastAsia="en-GB"/>
        </w:rPr>
        <w:t>ExplorIS</w:t>
      </w:r>
      <w:proofErr w:type="spellEnd"/>
      <w:r w:rsidRPr="002177B2">
        <w:rPr>
          <w:rFonts w:ascii="Arial" w:eastAsia="Times New Roman" w:hAnsi="Arial" w:cs="Arial"/>
          <w:sz w:val="20"/>
          <w:szCs w:val="20"/>
          <w:lang w:val="en-GB" w:eastAsia="en-GB"/>
        </w:rPr>
        <w:t xml:space="preserve"> Pty Ltd, PO Box 5257 Lismore East NSW 2480 AUSTRALIA  </w:t>
      </w:r>
    </w:p>
    <w:p w:rsidR="002177B2" w:rsidRPr="002177B2" w:rsidRDefault="002177B2" w:rsidP="002177B2">
      <w:pPr>
        <w:numPr>
          <w:ilvl w:val="0"/>
          <w:numId w:val="1"/>
        </w:numPr>
        <w:spacing w:after="160" w:line="259"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Golden Cross Resources Ltd, 22 Edgeworth David Ave Hornsby NSW 2077 AUSTRALIA</w:t>
      </w:r>
    </w:p>
    <w:p w:rsidR="002177B2" w:rsidRPr="002177B2" w:rsidRDefault="002177B2" w:rsidP="002177B2">
      <w:pPr>
        <w:numPr>
          <w:ilvl w:val="0"/>
          <w:numId w:val="1"/>
        </w:numPr>
        <w:spacing w:after="160" w:line="259"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Corbett Menzies </w:t>
      </w:r>
      <w:proofErr w:type="spellStart"/>
      <w:r w:rsidRPr="002177B2">
        <w:rPr>
          <w:rFonts w:ascii="Arial" w:eastAsia="Times New Roman" w:hAnsi="Arial" w:cs="Arial"/>
          <w:sz w:val="20"/>
          <w:szCs w:val="20"/>
          <w:lang w:val="en-GB" w:eastAsia="en-GB"/>
        </w:rPr>
        <w:t>Cunliffe</w:t>
      </w:r>
      <w:proofErr w:type="spellEnd"/>
      <w:r w:rsidRPr="002177B2">
        <w:rPr>
          <w:rFonts w:ascii="Arial" w:eastAsia="Times New Roman" w:hAnsi="Arial" w:cs="Arial"/>
          <w:sz w:val="20"/>
          <w:szCs w:val="20"/>
          <w:lang w:val="en-GB" w:eastAsia="en-GB"/>
        </w:rPr>
        <w:t>, PO Box 282, Willoughby, NSW, 2068</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b/>
          <w:sz w:val="20"/>
          <w:szCs w:val="20"/>
          <w:lang w:val="en-GB" w:eastAsia="en-GB"/>
        </w:rPr>
        <w:t>Key Words:</w:t>
      </w:r>
      <w:r w:rsidRPr="002177B2">
        <w:rPr>
          <w:rFonts w:ascii="Arial" w:eastAsia="Times New Roman" w:hAnsi="Arial" w:cs="Arial"/>
          <w:sz w:val="20"/>
          <w:szCs w:val="20"/>
          <w:lang w:val="en-GB" w:eastAsia="en-GB"/>
        </w:rPr>
        <w:t xml:space="preserve"> geology model, copper, gold, Copper Hill,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porphyry copper, epithermal, Lachlan Fold Belt, </w:t>
      </w:r>
      <w:proofErr w:type="spellStart"/>
      <w:r w:rsidRPr="002177B2">
        <w:rPr>
          <w:rFonts w:ascii="Arial" w:eastAsia="Times New Roman" w:hAnsi="Arial" w:cs="Arial"/>
          <w:sz w:val="20"/>
          <w:szCs w:val="20"/>
          <w:lang w:val="en-GB" w:eastAsia="en-GB"/>
        </w:rPr>
        <w:t>Molong</w:t>
      </w:r>
      <w:proofErr w:type="spellEnd"/>
      <w:r w:rsidRPr="002177B2">
        <w:rPr>
          <w:rFonts w:ascii="Arial" w:eastAsia="Times New Roman" w:hAnsi="Arial" w:cs="Arial"/>
          <w:sz w:val="20"/>
          <w:szCs w:val="20"/>
          <w:lang w:val="en-GB" w:eastAsia="en-GB"/>
        </w:rPr>
        <w:t xml:space="preserve">, Orange, oriented drill core, deposit model, Lachlan </w:t>
      </w:r>
      <w:proofErr w:type="spellStart"/>
      <w:r w:rsidRPr="002177B2">
        <w:rPr>
          <w:rFonts w:ascii="Arial" w:eastAsia="Times New Roman" w:hAnsi="Arial" w:cs="Arial"/>
          <w:sz w:val="20"/>
          <w:szCs w:val="20"/>
          <w:lang w:val="en-GB" w:eastAsia="en-GB"/>
        </w:rPr>
        <w:t>Orogen</w:t>
      </w:r>
      <w:proofErr w:type="spellEnd"/>
      <w:r w:rsidRPr="002177B2">
        <w:rPr>
          <w:rFonts w:ascii="Arial" w:eastAsia="Times New Roman" w:hAnsi="Arial" w:cs="Arial"/>
          <w:sz w:val="20"/>
          <w:szCs w:val="20"/>
          <w:lang w:val="en-GB" w:eastAsia="en-GB"/>
        </w:rPr>
        <w:t xml:space="preserve">, Leapfrog, radial basis function, </w:t>
      </w:r>
      <w:proofErr w:type="spellStart"/>
      <w:r w:rsidRPr="002177B2">
        <w:rPr>
          <w:rFonts w:ascii="Arial" w:eastAsia="Times New Roman" w:hAnsi="Arial" w:cs="Arial"/>
          <w:sz w:val="20"/>
          <w:szCs w:val="20"/>
          <w:lang w:val="en-GB" w:eastAsia="en-GB"/>
        </w:rPr>
        <w:t>isosurface</w:t>
      </w:r>
      <w:proofErr w:type="spellEnd"/>
      <w:r w:rsidRPr="002177B2">
        <w:rPr>
          <w:rFonts w:ascii="Arial" w:eastAsia="Times New Roman" w:hAnsi="Arial" w:cs="Arial"/>
          <w:sz w:val="20"/>
          <w:szCs w:val="20"/>
          <w:lang w:val="en-GB" w:eastAsia="en-GB"/>
        </w:rPr>
        <w:t xml:space="preserve">, mineral resource estimation, JORC </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Abstract</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Copper Hill is a porphyry copper-gold mineralised system (Corbett and Leach, 1998) hosted within and genetically related to diorite porphyry and multiphase </w:t>
      </w:r>
      <w:proofErr w:type="spellStart"/>
      <w:r w:rsidRPr="002177B2">
        <w:rPr>
          <w:rFonts w:ascii="Arial" w:eastAsia="Times New Roman" w:hAnsi="Arial" w:cs="Arial"/>
          <w:sz w:val="20"/>
          <w:szCs w:val="20"/>
          <w:lang w:val="en-GB" w:eastAsia="en-GB"/>
        </w:rPr>
        <w:t>calc</w:t>
      </w:r>
      <w:proofErr w:type="spellEnd"/>
      <w:r w:rsidRPr="002177B2">
        <w:rPr>
          <w:rFonts w:ascii="Arial" w:eastAsia="Times New Roman" w:hAnsi="Arial" w:cs="Arial"/>
          <w:sz w:val="20"/>
          <w:szCs w:val="20"/>
          <w:lang w:val="en-GB" w:eastAsia="en-GB"/>
        </w:rPr>
        <w:t xml:space="preserve">-alkaline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of the Copper Hill intrusive complex (CHIC), emplaced into basaltic-andesitic to andesitic lava, </w:t>
      </w:r>
      <w:proofErr w:type="spellStart"/>
      <w:r w:rsidRPr="002177B2">
        <w:rPr>
          <w:rFonts w:ascii="Arial" w:eastAsia="Times New Roman" w:hAnsi="Arial" w:cs="Arial"/>
          <w:sz w:val="20"/>
          <w:szCs w:val="20"/>
          <w:lang w:val="en-GB" w:eastAsia="en-GB"/>
        </w:rPr>
        <w:t>dacitic</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volcaniclastic</w:t>
      </w:r>
      <w:proofErr w:type="spellEnd"/>
      <w:r w:rsidRPr="002177B2">
        <w:rPr>
          <w:rFonts w:ascii="Arial" w:eastAsia="Times New Roman" w:hAnsi="Arial" w:cs="Arial"/>
          <w:sz w:val="20"/>
          <w:szCs w:val="20"/>
          <w:lang w:val="en-GB" w:eastAsia="en-GB"/>
        </w:rPr>
        <w:t xml:space="preserve"> conglomerate and breccia of the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Copper-gold mineralisation, emplaced throughout the evolution of the intrusive complex, and associated alteration have been placed within a </w:t>
      </w:r>
      <w:proofErr w:type="spellStart"/>
      <w:r w:rsidRPr="002177B2">
        <w:rPr>
          <w:rFonts w:ascii="Arial" w:eastAsia="Times New Roman" w:hAnsi="Arial" w:cs="Arial"/>
          <w:sz w:val="20"/>
          <w:szCs w:val="20"/>
          <w:lang w:val="en-GB" w:eastAsia="en-GB"/>
        </w:rPr>
        <w:t>paragenetic</w:t>
      </w:r>
      <w:proofErr w:type="spellEnd"/>
      <w:r w:rsidRPr="002177B2">
        <w:rPr>
          <w:rFonts w:ascii="Arial" w:eastAsia="Times New Roman" w:hAnsi="Arial" w:cs="Arial"/>
          <w:sz w:val="20"/>
          <w:szCs w:val="20"/>
          <w:lang w:val="en-GB" w:eastAsia="en-GB"/>
        </w:rPr>
        <w:t xml:space="preserve"> sequence using field relationships in orientated drill core and outcrop.  A proposed sequence of up to 9 pre-, </w:t>
      </w:r>
      <w:proofErr w:type="spellStart"/>
      <w:r w:rsidRPr="002177B2">
        <w:rPr>
          <w:rFonts w:ascii="Arial" w:eastAsia="Times New Roman" w:hAnsi="Arial" w:cs="Arial"/>
          <w:sz w:val="20"/>
          <w:szCs w:val="20"/>
          <w:lang w:val="en-GB" w:eastAsia="en-GB"/>
        </w:rPr>
        <w:t>syn</w:t>
      </w:r>
      <w:proofErr w:type="spellEnd"/>
      <w:r w:rsidRPr="002177B2">
        <w:rPr>
          <w:rFonts w:ascii="Arial" w:eastAsia="Times New Roman" w:hAnsi="Arial" w:cs="Arial"/>
          <w:sz w:val="20"/>
          <w:szCs w:val="20"/>
          <w:lang w:val="en-GB" w:eastAsia="en-GB"/>
        </w:rPr>
        <w:t>- and post-mineralisation intrusion events is separated by periods of uplift and erosion and changes in orientation of principal structural stresses, which may have acted as triggers or intrusion emplacement and mineralisation (Corbett and Leach, 1998; Corbett, 2014).</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Six stages of mineralisation are proposed, each with distinct with vein style, alteration and mineralisation characteristics. Early Stage 1-2 low-grade copper mineralisation (0.1-0.3% Cu, 0.1-0.3 g/t Au) occurs as disseminated chalcopyrite and sparse porphyry style A, B, and D veins within and contiguous with intrusions and structures with northwest trends.  High grade Stage 3 copper-gold mineralisation (0.3-5.4% Cu, 0.1-18.4 g/t Au) is associated with steep dipping sheeted and </w:t>
      </w:r>
      <w:proofErr w:type="spellStart"/>
      <w:r w:rsidRPr="002177B2">
        <w:rPr>
          <w:rFonts w:ascii="Arial" w:eastAsia="Times New Roman" w:hAnsi="Arial" w:cs="Arial"/>
          <w:sz w:val="20"/>
          <w:szCs w:val="20"/>
          <w:lang w:val="en-GB" w:eastAsia="en-GB"/>
        </w:rPr>
        <w:t>stockwork</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quartz</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magnetite</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sulphide</w:t>
      </w:r>
      <w:proofErr w:type="spellEnd"/>
      <w:r w:rsidRPr="002177B2">
        <w:rPr>
          <w:rFonts w:ascii="Arial" w:eastAsia="Times New Roman" w:hAnsi="Arial" w:cs="Arial"/>
          <w:sz w:val="20"/>
          <w:szCs w:val="20"/>
          <w:lang w:val="en-GB" w:eastAsia="en-GB"/>
        </w:rPr>
        <w:t xml:space="preserve"> A, B, M, and C porphyry style vein arrays within structures and peripheral to </w:t>
      </w:r>
      <w:proofErr w:type="spellStart"/>
      <w:r w:rsidRPr="002177B2">
        <w:rPr>
          <w:rFonts w:ascii="Arial" w:eastAsia="Times New Roman" w:hAnsi="Arial" w:cs="Arial"/>
          <w:sz w:val="20"/>
          <w:szCs w:val="20"/>
          <w:lang w:val="en-GB" w:eastAsia="en-GB"/>
        </w:rPr>
        <w:t>microtonalite</w:t>
      </w:r>
      <w:proofErr w:type="spellEnd"/>
      <w:r w:rsidRPr="002177B2">
        <w:rPr>
          <w:rFonts w:ascii="Arial" w:eastAsia="Times New Roman" w:hAnsi="Arial" w:cs="Arial"/>
          <w:sz w:val="20"/>
          <w:szCs w:val="20"/>
          <w:lang w:val="en-GB" w:eastAsia="en-GB"/>
        </w:rPr>
        <w:t xml:space="preserve"> porphyry intrusions. In Stage 4, carbonate base metal veins and shears are telescoped on top of earlier mineralisation. Shut down of the hydrothermal system is signalled by Stage 5 </w:t>
      </w:r>
      <w:proofErr w:type="spellStart"/>
      <w:r w:rsidRPr="002177B2">
        <w:rPr>
          <w:rFonts w:ascii="Arial" w:eastAsia="Times New Roman" w:hAnsi="Arial" w:cs="Arial"/>
          <w:sz w:val="20"/>
          <w:szCs w:val="20"/>
          <w:lang w:val="en-GB" w:eastAsia="en-GB"/>
        </w:rPr>
        <w:t>gypsum</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laumontite</w:t>
      </w:r>
      <w:proofErr w:type="spellEnd"/>
      <w:r w:rsidRPr="002177B2">
        <w:rPr>
          <w:rFonts w:ascii="Arial" w:eastAsia="Times New Roman" w:hAnsi="Arial" w:cs="Arial"/>
          <w:sz w:val="20"/>
          <w:szCs w:val="20"/>
          <w:lang w:val="en-GB" w:eastAsia="en-GB"/>
        </w:rPr>
        <w:t xml:space="preserve"> veins in structures and fracture zones.  The final Stage 6 is characterised by the development of a leached cap and sub horizontal zone of supergene copper.</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geological model developed from the 2014 drilling program utilised a combination of sectional 2D interpretation and isotropic and anisotropic 3D implicit grade shell </w:t>
      </w:r>
      <w:proofErr w:type="spellStart"/>
      <w:r w:rsidRPr="002177B2">
        <w:rPr>
          <w:rFonts w:ascii="Arial" w:eastAsia="Times New Roman" w:hAnsi="Arial" w:cs="Arial"/>
          <w:sz w:val="20"/>
          <w:szCs w:val="20"/>
          <w:lang w:val="en-GB" w:eastAsia="en-GB"/>
        </w:rPr>
        <w:t>isosurface</w:t>
      </w:r>
      <w:proofErr w:type="spellEnd"/>
      <w:r w:rsidRPr="002177B2">
        <w:rPr>
          <w:rFonts w:ascii="Arial" w:eastAsia="Times New Roman" w:hAnsi="Arial" w:cs="Arial"/>
          <w:sz w:val="20"/>
          <w:szCs w:val="20"/>
          <w:lang w:val="en-GB" w:eastAsia="en-GB"/>
        </w:rPr>
        <w:t xml:space="preserve"> modelling at multiple copper cut-off grades using the Leapfrog® Radial Basis Function (RBF) process.  The derived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which contain a geological foundation serve as templates for construction of estimation domains that were utilised dependent on geostatistical exploratory data analysis.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use of tighter geological controls for the mineral resource model facilitated the development of a combined mineral resource estimate of 28Mt @ 0.56% Cu and 0.53g/t Au at 0.4% Cu cut-off grade for 160,000t Cu (1% increase) and 480,000 ounces Au (9% increase). </w:t>
      </w:r>
      <w:proofErr w:type="gramStart"/>
      <w:r w:rsidRPr="002177B2">
        <w:rPr>
          <w:rFonts w:ascii="Arial" w:eastAsia="Times New Roman" w:hAnsi="Arial" w:cs="Arial"/>
          <w:sz w:val="20"/>
          <w:szCs w:val="20"/>
          <w:lang w:val="en-GB" w:eastAsia="en-GB"/>
        </w:rPr>
        <w:t>(Ridley, 2015; GCR, 2015).</w:t>
      </w:r>
      <w:proofErr w:type="gramEnd"/>
      <w:r w:rsidRPr="002177B2">
        <w:rPr>
          <w:rFonts w:ascii="Arial" w:eastAsia="Times New Roman" w:hAnsi="Arial" w:cs="Arial"/>
          <w:sz w:val="20"/>
          <w:szCs w:val="20"/>
          <w:lang w:val="en-GB" w:eastAsia="en-GB"/>
        </w:rPr>
        <w:t xml:space="preserve"> </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Introduction</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Copper Hill is reputed to be the first copper mine in New South Wales with copper production recorded from 1845-1931.  Exploration for copper and later copper-gold has been carried out since </w:t>
      </w:r>
      <w:r w:rsidRPr="002177B2">
        <w:rPr>
          <w:rFonts w:ascii="Arial" w:eastAsia="Times New Roman" w:hAnsi="Arial" w:cs="Arial"/>
          <w:sz w:val="20"/>
          <w:szCs w:val="20"/>
          <w:lang w:val="en-GB" w:eastAsia="en-GB"/>
        </w:rPr>
        <w:lastRenderedPageBreak/>
        <w:t xml:space="preserve">1966 to present day.  Golden Cross Resources Limited (GCR) has explored Copper Hill since 1998 with a view to moving the project from exploration through to feasibility and ultimately production.  Geological data has been collected, stored, and managed over time to varying standards and degrees of rigor with interpretations taking a sectional 2D approach.  GCR set out in April 2014 to establish a consolidated 3D geological model of Copper Hill with high quality reliable data sets from six new drill holes across the deposit, and reconnaissance surface mapping.  The approach taken by the project geology team was to combine traditional back-to-basics geology data collection and analysis, smartphone digital data capture tools and, more recently available computer modelling tools, to verify and validate geology data and models compiled throughout the project’s history.  The outcome is a series of 3D scenarios with strong geological support for an updated mineral resource estimate.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Surface mapping and structure models compiled by </w:t>
      </w:r>
      <w:proofErr w:type="spellStart"/>
      <w:r w:rsidRPr="002177B2">
        <w:rPr>
          <w:rFonts w:ascii="Arial" w:eastAsia="Times New Roman" w:hAnsi="Arial" w:cs="Arial"/>
          <w:sz w:val="20"/>
          <w:szCs w:val="20"/>
          <w:lang w:val="en-GB" w:eastAsia="en-GB"/>
        </w:rPr>
        <w:t>Chivas</w:t>
      </w:r>
      <w:proofErr w:type="spellEnd"/>
      <w:r w:rsidRPr="002177B2">
        <w:rPr>
          <w:rFonts w:ascii="Arial" w:eastAsia="Times New Roman" w:hAnsi="Arial" w:cs="Arial"/>
          <w:sz w:val="20"/>
          <w:szCs w:val="20"/>
          <w:lang w:val="en-GB" w:eastAsia="en-GB"/>
        </w:rPr>
        <w:t xml:space="preserve"> in 1971 and enhanced by Cyprus Amax in later years has been ratified utilising smartphone applications combined with historical drill hole and GIS data sets.  Orientated drill core measurements of structures, veins and contacts combined in 3D space support the predominant trends mapped at surface and provide a basis for the geological model.  Significant structural trends that control the distribution and geometry of each phase of deposit evolution have been identified as early northwest trending structures and intrusions broadly parallel to the regionally significant Lachlan Transverse Zone, east-west dilatant structures which host sheeted vein sets and intrusions associated with high-grade zones, and less dominant north-south trending vein sets and structures.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Historical geological models were constructed by combining sectional 2D interpretations in order to create a 3D model for target generation and mineral resource estimation.  The low angles between structures and drill sections made interpretation difficult. The geological model developed from the 2014 drilling program utilised a combination of sectional 2D interpretation and construction of isotropic and anisotropic 3D implicit grade shell </w:t>
      </w:r>
      <w:proofErr w:type="spellStart"/>
      <w:r w:rsidRPr="002177B2">
        <w:rPr>
          <w:rFonts w:ascii="Arial" w:eastAsia="Times New Roman" w:hAnsi="Arial" w:cs="Arial"/>
          <w:sz w:val="20"/>
          <w:szCs w:val="20"/>
          <w:lang w:val="en-GB" w:eastAsia="en-GB"/>
        </w:rPr>
        <w:t>isosurface</w:t>
      </w:r>
      <w:proofErr w:type="spellEnd"/>
      <w:r w:rsidRPr="002177B2">
        <w:rPr>
          <w:rFonts w:ascii="Arial" w:eastAsia="Times New Roman" w:hAnsi="Arial" w:cs="Arial"/>
          <w:sz w:val="20"/>
          <w:szCs w:val="20"/>
          <w:lang w:val="en-GB" w:eastAsia="en-GB"/>
        </w:rPr>
        <w:t xml:space="preserve"> models at multiple copper cut-off grades using the Leapfrog® Radial Basis Function (RBF) process.  3D surfaces of major structures and sheeted vein trends condition the anisotropic RBF calculations and result in previously enigmatic and disparate mineralised intercepts becoming a logical and better fit with the structural architecture and mineralisation styles of the deposit.  The derived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which contain a geological foundation serve as templates for construction of estimation domains that were utilised dependent on geostatistical exploratory data analysis.</w:t>
      </w: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Geological Setting</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Copper Hill is located within the Lachlan </w:t>
      </w:r>
      <w:proofErr w:type="spellStart"/>
      <w:r w:rsidRPr="002177B2">
        <w:rPr>
          <w:rFonts w:ascii="Arial" w:eastAsia="Times New Roman" w:hAnsi="Arial" w:cs="Arial"/>
          <w:sz w:val="20"/>
          <w:szCs w:val="20"/>
          <w:lang w:val="en-GB" w:eastAsia="en-GB"/>
        </w:rPr>
        <w:t>Orogen</w:t>
      </w:r>
      <w:proofErr w:type="spellEnd"/>
      <w:r w:rsidRPr="002177B2">
        <w:rPr>
          <w:rFonts w:ascii="Arial" w:eastAsia="Times New Roman" w:hAnsi="Arial" w:cs="Arial"/>
          <w:sz w:val="20"/>
          <w:szCs w:val="20"/>
          <w:lang w:val="en-GB" w:eastAsia="en-GB"/>
        </w:rPr>
        <w:t xml:space="preserve"> (Glen, 2006) of eastern Australia, a 1,000 kilometre wide complex Early Cambrian to Early Carboniferous orogenic belt that developed along the paleo-Pacific margin of the Australian craton during the Palaeozoic (Foster et al., 1999; Hoy, 2007). The Lachlan </w:t>
      </w:r>
      <w:proofErr w:type="spellStart"/>
      <w:r w:rsidRPr="002177B2">
        <w:rPr>
          <w:rFonts w:ascii="Arial" w:eastAsia="Times New Roman" w:hAnsi="Arial" w:cs="Arial"/>
          <w:sz w:val="20"/>
          <w:szCs w:val="20"/>
          <w:lang w:val="en-GB" w:eastAsia="en-GB"/>
        </w:rPr>
        <w:t>Orogen</w:t>
      </w:r>
      <w:proofErr w:type="spellEnd"/>
      <w:r w:rsidRPr="002177B2">
        <w:rPr>
          <w:rFonts w:ascii="Arial" w:eastAsia="Times New Roman" w:hAnsi="Arial" w:cs="Arial"/>
          <w:sz w:val="20"/>
          <w:szCs w:val="20"/>
          <w:lang w:val="en-GB" w:eastAsia="en-GB"/>
        </w:rPr>
        <w:t xml:space="preserve"> contains Early Ordovician to Early Silurian, volcano-intrusive complexes known as the Macquarie Arc (</w:t>
      </w:r>
      <w:proofErr w:type="spellStart"/>
      <w:r w:rsidRPr="002177B2">
        <w:rPr>
          <w:rFonts w:ascii="Arial" w:eastAsia="Times New Roman" w:hAnsi="Arial" w:cs="Arial"/>
          <w:sz w:val="20"/>
          <w:szCs w:val="20"/>
          <w:lang w:val="en-GB" w:eastAsia="en-GB"/>
        </w:rPr>
        <w:t>Mowatt</w:t>
      </w:r>
      <w:proofErr w:type="spellEnd"/>
      <w:r w:rsidRPr="002177B2">
        <w:rPr>
          <w:rFonts w:ascii="Arial" w:eastAsia="Times New Roman" w:hAnsi="Arial" w:cs="Arial"/>
          <w:sz w:val="20"/>
          <w:szCs w:val="20"/>
          <w:lang w:val="en-GB" w:eastAsia="en-GB"/>
        </w:rPr>
        <w:t xml:space="preserve"> &amp; Smith, 2006) and include four broadly north-south trending Ordovician age belts (</w:t>
      </w:r>
      <w:proofErr w:type="spellStart"/>
      <w:r w:rsidRPr="002177B2">
        <w:rPr>
          <w:rFonts w:ascii="Arial" w:eastAsia="Times New Roman" w:hAnsi="Arial" w:cs="Arial"/>
          <w:sz w:val="20"/>
          <w:szCs w:val="20"/>
          <w:lang w:val="en-GB" w:eastAsia="en-GB"/>
        </w:rPr>
        <w:t>Junee</w:t>
      </w:r>
      <w:proofErr w:type="spellEnd"/>
      <w:r w:rsidRPr="002177B2">
        <w:rPr>
          <w:rFonts w:ascii="Arial" w:eastAsia="Times New Roman" w:hAnsi="Arial" w:cs="Arial"/>
          <w:sz w:val="20"/>
          <w:szCs w:val="20"/>
          <w:lang w:val="en-GB" w:eastAsia="en-GB"/>
        </w:rPr>
        <w:t xml:space="preserve"> – </w:t>
      </w:r>
      <w:proofErr w:type="spellStart"/>
      <w:r w:rsidRPr="002177B2">
        <w:rPr>
          <w:rFonts w:ascii="Arial" w:eastAsia="Times New Roman" w:hAnsi="Arial" w:cs="Arial"/>
          <w:sz w:val="20"/>
          <w:szCs w:val="20"/>
          <w:lang w:val="en-GB" w:eastAsia="en-GB"/>
        </w:rPr>
        <w:t>Narromine</w:t>
      </w:r>
      <w:proofErr w:type="spellEnd"/>
      <w:r w:rsidRPr="002177B2">
        <w:rPr>
          <w:rFonts w:ascii="Arial" w:eastAsia="Times New Roman" w:hAnsi="Arial" w:cs="Arial"/>
          <w:sz w:val="20"/>
          <w:szCs w:val="20"/>
          <w:lang w:val="en-GB" w:eastAsia="en-GB"/>
        </w:rPr>
        <w:t xml:space="preserve"> Volcanic Belt (JNVB); </w:t>
      </w:r>
      <w:proofErr w:type="spellStart"/>
      <w:r w:rsidRPr="002177B2">
        <w:rPr>
          <w:rFonts w:ascii="Arial" w:eastAsia="Times New Roman" w:hAnsi="Arial" w:cs="Arial"/>
          <w:sz w:val="20"/>
          <w:szCs w:val="20"/>
          <w:lang w:val="en-GB" w:eastAsia="en-GB"/>
        </w:rPr>
        <w:t>Molong</w:t>
      </w:r>
      <w:proofErr w:type="spellEnd"/>
      <w:r w:rsidRPr="002177B2">
        <w:rPr>
          <w:rFonts w:ascii="Arial" w:eastAsia="Times New Roman" w:hAnsi="Arial" w:cs="Arial"/>
          <w:sz w:val="20"/>
          <w:szCs w:val="20"/>
          <w:lang w:val="en-GB" w:eastAsia="en-GB"/>
        </w:rPr>
        <w:t xml:space="preserve"> Volcanic Belt (MVB); the Rockley – </w:t>
      </w:r>
      <w:proofErr w:type="spellStart"/>
      <w:r w:rsidRPr="002177B2">
        <w:rPr>
          <w:rFonts w:ascii="Arial" w:eastAsia="Times New Roman" w:hAnsi="Arial" w:cs="Arial"/>
          <w:sz w:val="20"/>
          <w:szCs w:val="20"/>
          <w:lang w:val="en-GB" w:eastAsia="en-GB"/>
        </w:rPr>
        <w:t>Gulgong</w:t>
      </w:r>
      <w:proofErr w:type="spellEnd"/>
      <w:r w:rsidRPr="002177B2">
        <w:rPr>
          <w:rFonts w:ascii="Arial" w:eastAsia="Times New Roman" w:hAnsi="Arial" w:cs="Arial"/>
          <w:sz w:val="20"/>
          <w:szCs w:val="20"/>
          <w:lang w:val="en-GB" w:eastAsia="en-GB"/>
        </w:rPr>
        <w:t xml:space="preserve"> Volcanic Belt (RGVB); and, in the south, the </w:t>
      </w:r>
      <w:proofErr w:type="spellStart"/>
      <w:r w:rsidRPr="002177B2">
        <w:rPr>
          <w:rFonts w:ascii="Arial" w:eastAsia="Times New Roman" w:hAnsi="Arial" w:cs="Arial"/>
          <w:sz w:val="20"/>
          <w:szCs w:val="20"/>
          <w:lang w:val="en-GB" w:eastAsia="en-GB"/>
        </w:rPr>
        <w:t>Kiandra</w:t>
      </w:r>
      <w:proofErr w:type="spellEnd"/>
      <w:r w:rsidRPr="002177B2">
        <w:rPr>
          <w:rFonts w:ascii="Arial" w:eastAsia="Times New Roman" w:hAnsi="Arial" w:cs="Arial"/>
          <w:sz w:val="20"/>
          <w:szCs w:val="20"/>
          <w:lang w:val="en-GB" w:eastAsia="en-GB"/>
        </w:rPr>
        <w:t xml:space="preserve"> Volcanic Belt (KVB)).  Copper Hill is situated on the western margin of the central part of the </w:t>
      </w:r>
      <w:proofErr w:type="spellStart"/>
      <w:r w:rsidRPr="002177B2">
        <w:rPr>
          <w:rFonts w:ascii="Arial" w:eastAsia="Times New Roman" w:hAnsi="Arial" w:cs="Arial"/>
          <w:sz w:val="20"/>
          <w:szCs w:val="20"/>
          <w:lang w:val="en-GB" w:eastAsia="en-GB"/>
        </w:rPr>
        <w:t>Molong</w:t>
      </w:r>
      <w:proofErr w:type="spellEnd"/>
      <w:r w:rsidRPr="002177B2">
        <w:rPr>
          <w:rFonts w:ascii="Arial" w:eastAsia="Times New Roman" w:hAnsi="Arial" w:cs="Arial"/>
          <w:sz w:val="20"/>
          <w:szCs w:val="20"/>
          <w:lang w:val="en-GB" w:eastAsia="en-GB"/>
        </w:rPr>
        <w:t xml:space="preserve"> Volcanic Belt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_Ref425252159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8</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mineralised system is hosted within, and is genetically related to, early diorite porphyry and later multiphase </w:t>
      </w:r>
      <w:proofErr w:type="spellStart"/>
      <w:r w:rsidRPr="002177B2">
        <w:rPr>
          <w:rFonts w:ascii="Arial" w:eastAsia="Times New Roman" w:hAnsi="Arial" w:cs="Arial"/>
          <w:sz w:val="20"/>
          <w:szCs w:val="20"/>
          <w:lang w:val="en-GB" w:eastAsia="en-GB"/>
        </w:rPr>
        <w:t>calc</w:t>
      </w:r>
      <w:proofErr w:type="spellEnd"/>
      <w:r w:rsidRPr="002177B2">
        <w:rPr>
          <w:rFonts w:ascii="Arial" w:eastAsia="Times New Roman" w:hAnsi="Arial" w:cs="Arial"/>
          <w:sz w:val="20"/>
          <w:szCs w:val="20"/>
          <w:lang w:val="en-GB" w:eastAsia="en-GB"/>
        </w:rPr>
        <w:t xml:space="preserve">-alkaline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of the Copper Hill intrusive complex (CHIC).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form stocks, dykes and intrusion </w:t>
      </w:r>
      <w:proofErr w:type="spellStart"/>
      <w:r w:rsidRPr="002177B2">
        <w:rPr>
          <w:rFonts w:ascii="Arial" w:eastAsia="Times New Roman" w:hAnsi="Arial" w:cs="Arial"/>
          <w:sz w:val="20"/>
          <w:szCs w:val="20"/>
          <w:lang w:val="en-GB" w:eastAsia="en-GB"/>
        </w:rPr>
        <w:t>breccias</w:t>
      </w:r>
      <w:proofErr w:type="spellEnd"/>
      <w:r w:rsidRPr="002177B2">
        <w:rPr>
          <w:rFonts w:ascii="Arial" w:eastAsia="Times New Roman" w:hAnsi="Arial" w:cs="Arial"/>
          <w:sz w:val="20"/>
          <w:szCs w:val="20"/>
          <w:lang w:val="en-GB" w:eastAsia="en-GB"/>
        </w:rPr>
        <w:t xml:space="preserve"> within wall rock basaltic-andesitic to andesitic lava, </w:t>
      </w:r>
      <w:proofErr w:type="spellStart"/>
      <w:r w:rsidRPr="002177B2">
        <w:rPr>
          <w:rFonts w:ascii="Arial" w:eastAsia="Times New Roman" w:hAnsi="Arial" w:cs="Arial"/>
          <w:sz w:val="20"/>
          <w:szCs w:val="20"/>
          <w:lang w:val="en-GB" w:eastAsia="en-GB"/>
        </w:rPr>
        <w:t>dacitic</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volcaniclastic</w:t>
      </w:r>
      <w:proofErr w:type="spellEnd"/>
      <w:r w:rsidRPr="002177B2">
        <w:rPr>
          <w:rFonts w:ascii="Arial" w:eastAsia="Times New Roman" w:hAnsi="Arial" w:cs="Arial"/>
          <w:sz w:val="20"/>
          <w:szCs w:val="20"/>
          <w:lang w:val="en-GB" w:eastAsia="en-GB"/>
        </w:rPr>
        <w:t xml:space="preserve"> conglomerate and breccia of the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a member of the Ordovician </w:t>
      </w:r>
      <w:proofErr w:type="spellStart"/>
      <w:r w:rsidRPr="002177B2">
        <w:rPr>
          <w:rFonts w:ascii="Arial" w:eastAsia="Times New Roman" w:hAnsi="Arial" w:cs="Arial"/>
          <w:sz w:val="20"/>
          <w:szCs w:val="20"/>
          <w:lang w:val="en-GB" w:eastAsia="en-GB"/>
        </w:rPr>
        <w:t>Cabonne</w:t>
      </w:r>
      <w:proofErr w:type="spellEnd"/>
      <w:r w:rsidRPr="002177B2">
        <w:rPr>
          <w:rFonts w:ascii="Arial" w:eastAsia="Times New Roman" w:hAnsi="Arial" w:cs="Arial"/>
          <w:sz w:val="20"/>
          <w:szCs w:val="20"/>
          <w:lang w:val="en-GB" w:eastAsia="en-GB"/>
        </w:rPr>
        <w:t xml:space="preserve"> Group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_Ref426473077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9</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Silurian to Early Devonian volcanic and sedimentary rocks of the </w:t>
      </w:r>
      <w:proofErr w:type="spellStart"/>
      <w:r w:rsidRPr="002177B2">
        <w:rPr>
          <w:rFonts w:ascii="Arial" w:eastAsia="Times New Roman" w:hAnsi="Arial" w:cs="Arial"/>
          <w:sz w:val="20"/>
          <w:szCs w:val="20"/>
          <w:lang w:val="en-GB" w:eastAsia="en-GB"/>
        </w:rPr>
        <w:t>Cowra</w:t>
      </w:r>
      <w:proofErr w:type="spellEnd"/>
      <w:r w:rsidRPr="002177B2">
        <w:rPr>
          <w:rFonts w:ascii="Arial" w:eastAsia="Times New Roman" w:hAnsi="Arial" w:cs="Arial"/>
          <w:sz w:val="20"/>
          <w:szCs w:val="20"/>
          <w:lang w:val="en-GB" w:eastAsia="en-GB"/>
        </w:rPr>
        <w:t xml:space="preserve">-Yass and Hill End troughs surround the </w:t>
      </w:r>
      <w:proofErr w:type="spellStart"/>
      <w:r w:rsidRPr="002177B2">
        <w:rPr>
          <w:rFonts w:ascii="Arial" w:eastAsia="Times New Roman" w:hAnsi="Arial" w:cs="Arial"/>
          <w:sz w:val="20"/>
          <w:szCs w:val="20"/>
          <w:lang w:val="en-GB" w:eastAsia="en-GB"/>
        </w:rPr>
        <w:t>Molong</w:t>
      </w:r>
      <w:proofErr w:type="spellEnd"/>
      <w:r w:rsidRPr="002177B2">
        <w:rPr>
          <w:rFonts w:ascii="Arial" w:eastAsia="Times New Roman" w:hAnsi="Arial" w:cs="Arial"/>
          <w:sz w:val="20"/>
          <w:szCs w:val="20"/>
          <w:lang w:val="en-GB" w:eastAsia="en-GB"/>
        </w:rPr>
        <w:t xml:space="preserve"> Volcanic Belt.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A sequence of up to 9 pre-, </w:t>
      </w:r>
      <w:proofErr w:type="spellStart"/>
      <w:r w:rsidRPr="002177B2">
        <w:rPr>
          <w:rFonts w:ascii="Arial" w:eastAsia="Times New Roman" w:hAnsi="Arial" w:cs="Arial"/>
          <w:sz w:val="20"/>
          <w:szCs w:val="20"/>
          <w:lang w:val="en-GB" w:eastAsia="en-GB"/>
        </w:rPr>
        <w:t>syn</w:t>
      </w:r>
      <w:proofErr w:type="spellEnd"/>
      <w:r w:rsidRPr="002177B2">
        <w:rPr>
          <w:rFonts w:ascii="Arial" w:eastAsia="Times New Roman" w:hAnsi="Arial" w:cs="Arial"/>
          <w:sz w:val="20"/>
          <w:szCs w:val="20"/>
          <w:lang w:val="en-GB" w:eastAsia="en-GB"/>
        </w:rPr>
        <w:t xml:space="preserve">- and post-mineralisation intrusion events is proposed based on observations of primary texture, cross cutting field relationships, and vein/mineralisation styles associated with each intrusion.  Primary textures alone cannot define the relationship between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and mineralisation as intrusions with similar primary textures are observed throughout the history of mineralisation.</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Quartz diorite porphyry (QDP)</w:t>
      </w:r>
      <w:r w:rsidRPr="002177B2">
        <w:rPr>
          <w:rFonts w:ascii="Arial" w:eastAsia="Times New Roman" w:hAnsi="Arial" w:cs="Arial"/>
          <w:sz w:val="20"/>
          <w:szCs w:val="20"/>
          <w:lang w:val="en-GB" w:eastAsia="en-GB"/>
        </w:rPr>
        <w:t xml:space="preserve"> crops out as an east-west elongate body southeast of the main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bodies.  The outcrop distribution, occurrence as xenoliths within later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w:t>
      </w:r>
      <w:r w:rsidRPr="002177B2">
        <w:rPr>
          <w:rFonts w:ascii="Arial" w:eastAsia="Times New Roman" w:hAnsi="Arial" w:cs="Arial"/>
          <w:sz w:val="20"/>
          <w:szCs w:val="20"/>
          <w:lang w:val="en-GB" w:eastAsia="en-GB"/>
        </w:rPr>
        <w:lastRenderedPageBreak/>
        <w:t xml:space="preserve">intrusions, and lack of extensive fracturing and hydrothermal alteration, place this unit as the earliest intrusion phase of the CHIC.  This QDP is green-grey massive, </w:t>
      </w:r>
      <w:proofErr w:type="spellStart"/>
      <w:r w:rsidRPr="002177B2">
        <w:rPr>
          <w:rFonts w:ascii="Arial" w:eastAsia="Times New Roman" w:hAnsi="Arial" w:cs="Arial"/>
          <w:sz w:val="20"/>
          <w:szCs w:val="20"/>
          <w:lang w:val="en-GB" w:eastAsia="en-GB"/>
        </w:rPr>
        <w:t>equigranular</w:t>
      </w:r>
      <w:proofErr w:type="spellEnd"/>
      <w:r w:rsidRPr="002177B2">
        <w:rPr>
          <w:rFonts w:ascii="Arial" w:eastAsia="Times New Roman" w:hAnsi="Arial" w:cs="Arial"/>
          <w:sz w:val="20"/>
          <w:szCs w:val="20"/>
          <w:lang w:val="en-GB" w:eastAsia="en-GB"/>
        </w:rPr>
        <w:t xml:space="preserve"> and comprises 1-2 mm tabular plagioclase phenocrysts (40%), dark green interstitial hornblende up to 3 mm (20%), quartz (10-15%), minor magnetite and chlorite derived from the alteration of biotite (Hoy, 2007).</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5734050" cy="5324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4050" cy="5324475"/>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2" w:name="_Ref425252159"/>
      <w:bookmarkStart w:id="3" w:name="_Toc425407231"/>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8</w:t>
      </w:r>
      <w:r w:rsidRPr="002177B2">
        <w:rPr>
          <w:rFonts w:ascii="Arial" w:eastAsia="SimSun" w:hAnsi="Arial" w:cs="Times New Roman"/>
          <w:b/>
          <w:bCs/>
          <w:i/>
          <w:iCs/>
          <w:noProof/>
          <w:sz w:val="18"/>
          <w:lang w:val="en-GB" w:eastAsia="en-GB"/>
        </w:rPr>
        <w:fldChar w:fldCharType="end"/>
      </w:r>
      <w:bookmarkEnd w:id="2"/>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Schematic map of the Macquarie Arc, eastern Lachlan </w:t>
      </w:r>
      <w:proofErr w:type="spellStart"/>
      <w:r w:rsidRPr="002177B2">
        <w:rPr>
          <w:rFonts w:ascii="Arial" w:eastAsia="SimSun" w:hAnsi="Arial" w:cs="Times New Roman"/>
          <w:bCs/>
          <w:i/>
          <w:iCs/>
          <w:sz w:val="18"/>
          <w:lang w:val="en-GB" w:eastAsia="en-GB"/>
        </w:rPr>
        <w:t>Orogen</w:t>
      </w:r>
      <w:proofErr w:type="spellEnd"/>
      <w:r w:rsidRPr="002177B2">
        <w:rPr>
          <w:rFonts w:ascii="Arial" w:eastAsia="SimSun" w:hAnsi="Arial" w:cs="Times New Roman"/>
          <w:bCs/>
          <w:i/>
          <w:iCs/>
          <w:sz w:val="18"/>
          <w:lang w:val="en-GB" w:eastAsia="en-GB"/>
        </w:rPr>
        <w:t xml:space="preserve"> showing main Ordovician belts and major deposits in central New South Wales</w:t>
      </w:r>
      <w:bookmarkEnd w:id="3"/>
      <w:r w:rsidRPr="002177B2">
        <w:rPr>
          <w:rFonts w:ascii="Arial" w:eastAsia="SimSun" w:hAnsi="Arial" w:cs="Times New Roman"/>
          <w:bCs/>
          <w:i/>
          <w:iCs/>
          <w:sz w:val="18"/>
          <w:lang w:val="en-GB" w:eastAsia="en-GB"/>
        </w:rPr>
        <w:t xml:space="preserve"> (GCR, 2015).</w:t>
      </w:r>
    </w:p>
    <w:p w:rsidR="002177B2" w:rsidRPr="002177B2" w:rsidRDefault="002177B2" w:rsidP="002177B2">
      <w:pPr>
        <w:spacing w:after="160" w:line="252" w:lineRule="auto"/>
        <w:jc w:val="both"/>
        <w:rPr>
          <w:rFonts w:ascii="Arial" w:eastAsia="Times New Roman" w:hAnsi="Arial" w:cs="Arial"/>
          <w:sz w:val="20"/>
          <w:szCs w:val="20"/>
          <w:lang w:val="en-GB"/>
        </w:rPr>
      </w:pPr>
      <w:r w:rsidRPr="002177B2">
        <w:rPr>
          <w:rFonts w:ascii="Arial" w:eastAsia="Times New Roman" w:hAnsi="Arial" w:cs="Arial"/>
          <w:sz w:val="20"/>
          <w:szCs w:val="20"/>
          <w:lang w:val="en-GB"/>
        </w:rPr>
        <w:br w:type="page"/>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lastRenderedPageBreak/>
        <w:t xml:space="preserve"> Multiple phases of pre- and </w:t>
      </w:r>
      <w:proofErr w:type="spellStart"/>
      <w:r w:rsidRPr="002177B2">
        <w:rPr>
          <w:rFonts w:ascii="Arial" w:eastAsia="Times New Roman" w:hAnsi="Arial" w:cs="Arial"/>
          <w:sz w:val="20"/>
          <w:szCs w:val="20"/>
          <w:lang w:val="en-GB" w:eastAsia="en-GB"/>
        </w:rPr>
        <w:t>syn</w:t>
      </w:r>
      <w:proofErr w:type="spellEnd"/>
      <w:r w:rsidRPr="002177B2">
        <w:rPr>
          <w:rFonts w:ascii="Arial" w:eastAsia="Times New Roman" w:hAnsi="Arial" w:cs="Arial"/>
          <w:sz w:val="20"/>
          <w:szCs w:val="20"/>
          <w:lang w:val="en-GB" w:eastAsia="en-GB"/>
        </w:rPr>
        <w:t xml:space="preserve">-mineralisation </w:t>
      </w:r>
      <w:r w:rsidRPr="002177B2">
        <w:rPr>
          <w:rFonts w:ascii="Arial" w:eastAsia="Times New Roman" w:hAnsi="Arial" w:cs="Arial"/>
          <w:i/>
          <w:sz w:val="20"/>
          <w:szCs w:val="20"/>
          <w:lang w:val="en-GB" w:eastAsia="en-GB"/>
        </w:rPr>
        <w:t xml:space="preserve">crowded </w:t>
      </w:r>
      <w:proofErr w:type="spellStart"/>
      <w:r w:rsidRPr="002177B2">
        <w:rPr>
          <w:rFonts w:ascii="Arial" w:eastAsia="Times New Roman" w:hAnsi="Arial" w:cs="Arial"/>
          <w:i/>
          <w:sz w:val="20"/>
          <w:szCs w:val="20"/>
          <w:lang w:val="en-GB" w:eastAsia="en-GB"/>
        </w:rPr>
        <w:t>tonalite</w:t>
      </w:r>
      <w:proofErr w:type="spellEnd"/>
      <w:r w:rsidRPr="002177B2">
        <w:rPr>
          <w:rFonts w:ascii="Arial" w:eastAsia="Times New Roman" w:hAnsi="Arial" w:cs="Arial"/>
          <w:i/>
          <w:sz w:val="20"/>
          <w:szCs w:val="20"/>
          <w:lang w:val="en-GB" w:eastAsia="en-GB"/>
        </w:rPr>
        <w:t xml:space="preserve"> porphyry (CTP)</w:t>
      </w:r>
      <w:r w:rsidRPr="002177B2">
        <w:rPr>
          <w:rFonts w:ascii="Arial" w:eastAsia="Times New Roman" w:hAnsi="Arial" w:cs="Arial"/>
          <w:sz w:val="20"/>
          <w:szCs w:val="20"/>
          <w:lang w:val="en-GB" w:eastAsia="en-GB"/>
        </w:rPr>
        <w:t xml:space="preserve"> and </w:t>
      </w:r>
      <w:proofErr w:type="spellStart"/>
      <w:r w:rsidRPr="002177B2">
        <w:rPr>
          <w:rFonts w:ascii="Arial" w:eastAsia="Times New Roman" w:hAnsi="Arial" w:cs="Arial"/>
          <w:i/>
          <w:sz w:val="20"/>
          <w:szCs w:val="20"/>
          <w:lang w:val="en-GB" w:eastAsia="en-GB"/>
        </w:rPr>
        <w:t>microtonalite</w:t>
      </w:r>
      <w:proofErr w:type="spellEnd"/>
      <w:r w:rsidRPr="002177B2">
        <w:rPr>
          <w:rFonts w:ascii="Arial" w:eastAsia="Times New Roman" w:hAnsi="Arial" w:cs="Arial"/>
          <w:i/>
          <w:sz w:val="20"/>
          <w:szCs w:val="20"/>
          <w:lang w:val="en-GB" w:eastAsia="en-GB"/>
        </w:rPr>
        <w:t xml:space="preserve"> porphyry (MTP)</w:t>
      </w:r>
      <w:r w:rsidRPr="002177B2">
        <w:rPr>
          <w:rFonts w:ascii="Arial" w:eastAsia="Times New Roman" w:hAnsi="Arial" w:cs="Arial"/>
          <w:sz w:val="20"/>
          <w:szCs w:val="20"/>
          <w:lang w:val="en-GB" w:eastAsia="en-GB"/>
        </w:rPr>
        <w:t xml:space="preserve"> form the main northwest trending stocks of the CHIC.  Crowded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is characterised by crowded, </w:t>
      </w:r>
      <w:proofErr w:type="spellStart"/>
      <w:r w:rsidRPr="002177B2">
        <w:rPr>
          <w:rFonts w:ascii="Arial" w:eastAsia="Times New Roman" w:hAnsi="Arial" w:cs="Arial"/>
          <w:sz w:val="20"/>
          <w:szCs w:val="20"/>
          <w:lang w:val="en-GB" w:eastAsia="en-GB"/>
        </w:rPr>
        <w:t>seriate</w:t>
      </w:r>
      <w:proofErr w:type="spellEnd"/>
      <w:r w:rsidRPr="002177B2">
        <w:rPr>
          <w:rFonts w:ascii="Arial" w:eastAsia="Times New Roman" w:hAnsi="Arial" w:cs="Arial"/>
          <w:sz w:val="20"/>
          <w:szCs w:val="20"/>
          <w:lang w:val="en-GB" w:eastAsia="en-GB"/>
        </w:rPr>
        <w:t xml:space="preserve"> textures with minor quartz and hornblende phenocrysts, and xenoliths of QDP and MTP. </w:t>
      </w:r>
      <w:proofErr w:type="spellStart"/>
      <w:r w:rsidRPr="002177B2">
        <w:rPr>
          <w:rFonts w:ascii="Arial" w:eastAsia="Times New Roman" w:hAnsi="Arial" w:cs="Arial"/>
          <w:sz w:val="20"/>
          <w:szCs w:val="20"/>
          <w:lang w:val="en-GB" w:eastAsia="en-GB"/>
        </w:rPr>
        <w:t>Chivas</w:t>
      </w:r>
      <w:proofErr w:type="spellEnd"/>
      <w:r w:rsidRPr="002177B2">
        <w:rPr>
          <w:rFonts w:ascii="Arial" w:eastAsia="Times New Roman" w:hAnsi="Arial" w:cs="Arial"/>
          <w:sz w:val="20"/>
          <w:szCs w:val="20"/>
          <w:lang w:val="en-GB" w:eastAsia="en-GB"/>
        </w:rPr>
        <w:t xml:space="preserve"> and Nutter (1975), Scott (1978), </w:t>
      </w:r>
      <w:proofErr w:type="spellStart"/>
      <w:r w:rsidRPr="002177B2">
        <w:rPr>
          <w:rFonts w:ascii="Arial" w:eastAsia="Times New Roman" w:hAnsi="Arial" w:cs="Arial"/>
          <w:sz w:val="20"/>
          <w:szCs w:val="20"/>
          <w:lang w:val="en-GB" w:eastAsia="en-GB"/>
        </w:rPr>
        <w:t>Blevin</w:t>
      </w:r>
      <w:proofErr w:type="spellEnd"/>
      <w:r w:rsidRPr="002177B2">
        <w:rPr>
          <w:rFonts w:ascii="Arial" w:eastAsia="Times New Roman" w:hAnsi="Arial" w:cs="Arial"/>
          <w:sz w:val="20"/>
          <w:szCs w:val="20"/>
          <w:lang w:val="en-GB" w:eastAsia="en-GB"/>
        </w:rPr>
        <w:t xml:space="preserve"> and Morrison (1997), Hoy (2007) and Corbett (2006, 2013, 2014) recognised two main phases of CTP based on primary textural features of grain size and quartz content.  The </w:t>
      </w:r>
      <w:proofErr w:type="spellStart"/>
      <w:r w:rsidRPr="002177B2">
        <w:rPr>
          <w:rFonts w:ascii="Arial" w:eastAsia="Times New Roman" w:hAnsi="Arial" w:cs="Arial"/>
          <w:sz w:val="20"/>
          <w:szCs w:val="20"/>
          <w:lang w:val="en-GB" w:eastAsia="en-GB"/>
        </w:rPr>
        <w:t>northeastern</w:t>
      </w:r>
      <w:proofErr w:type="spellEnd"/>
      <w:r w:rsidRPr="002177B2">
        <w:rPr>
          <w:rFonts w:ascii="Arial" w:eastAsia="Times New Roman" w:hAnsi="Arial" w:cs="Arial"/>
          <w:sz w:val="20"/>
          <w:szCs w:val="20"/>
          <w:lang w:val="en-GB" w:eastAsia="en-GB"/>
        </w:rPr>
        <w:t xml:space="preserve"> portion of the main intrusive body comprises a coarse-grained (3-5mm) CTP with sparse plagioclase </w:t>
      </w:r>
      <w:proofErr w:type="spellStart"/>
      <w:r w:rsidRPr="002177B2">
        <w:rPr>
          <w:rFonts w:ascii="Arial" w:eastAsia="Times New Roman" w:hAnsi="Arial" w:cs="Arial"/>
          <w:sz w:val="20"/>
          <w:szCs w:val="20"/>
          <w:lang w:val="en-GB" w:eastAsia="en-GB"/>
        </w:rPr>
        <w:t>megacrysts</w:t>
      </w:r>
      <w:proofErr w:type="spellEnd"/>
      <w:r w:rsidRPr="002177B2">
        <w:rPr>
          <w:rFonts w:ascii="Arial" w:eastAsia="Times New Roman" w:hAnsi="Arial" w:cs="Arial"/>
          <w:sz w:val="20"/>
          <w:szCs w:val="20"/>
          <w:lang w:val="en-GB" w:eastAsia="en-GB"/>
        </w:rPr>
        <w:t xml:space="preserve"> and occasional quartz eyes.  On the southwest side, the CTP displays a finer grained (1-2mm) </w:t>
      </w:r>
      <w:proofErr w:type="spellStart"/>
      <w:r w:rsidRPr="002177B2">
        <w:rPr>
          <w:rFonts w:ascii="Arial" w:eastAsia="Times New Roman" w:hAnsi="Arial" w:cs="Arial"/>
          <w:sz w:val="20"/>
          <w:szCs w:val="20"/>
          <w:lang w:val="en-GB" w:eastAsia="en-GB"/>
        </w:rPr>
        <w:t>seriate</w:t>
      </w:r>
      <w:proofErr w:type="spellEnd"/>
      <w:r w:rsidRPr="002177B2">
        <w:rPr>
          <w:rFonts w:ascii="Arial" w:eastAsia="Times New Roman" w:hAnsi="Arial" w:cs="Arial"/>
          <w:sz w:val="20"/>
          <w:szCs w:val="20"/>
          <w:lang w:val="en-GB" w:eastAsia="en-GB"/>
        </w:rPr>
        <w:t xml:space="preserve"> texture with 1-3% quartz eyes. The eastern contact zone with the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contains intrusion breccia textures with the proportion of intrusive matrix increasing towards the centre of the complex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_Ref414366359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13</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_Ref414453787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14</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w:t>
      </w:r>
    </w:p>
    <w:p w:rsidR="002177B2" w:rsidRPr="002177B2" w:rsidRDefault="002177B2" w:rsidP="002177B2">
      <w:pPr>
        <w:spacing w:after="160" w:line="252" w:lineRule="auto"/>
        <w:jc w:val="both"/>
        <w:rPr>
          <w:rFonts w:ascii="Arial" w:eastAsia="Times New Roman" w:hAnsi="Arial" w:cs="Arial"/>
          <w:sz w:val="20"/>
          <w:lang w:val="en-GB" w:eastAsia="en-GB"/>
        </w:rPr>
      </w:pPr>
      <w:r>
        <w:rPr>
          <w:rFonts w:ascii="Arial" w:eastAsia="Times New Roman" w:hAnsi="Arial" w:cs="Arial"/>
          <w:noProof/>
          <w:sz w:val="20"/>
          <w:szCs w:val="20"/>
          <w:lang w:eastAsia="en-AU"/>
        </w:rPr>
        <w:drawing>
          <wp:inline distT="0" distB="0" distL="0" distR="0">
            <wp:extent cx="5734050" cy="4048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4048125"/>
                    </a:xfrm>
                    <a:prstGeom prst="rect">
                      <a:avLst/>
                    </a:prstGeom>
                    <a:noFill/>
                    <a:ln>
                      <a:noFill/>
                    </a:ln>
                  </pic:spPr>
                </pic:pic>
              </a:graphicData>
            </a:graphic>
          </wp:inline>
        </w:drawing>
      </w:r>
      <w:bookmarkStart w:id="4" w:name="_Ref426473077"/>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sz w:val="18"/>
          <w:lang w:val="en-GB" w:eastAsia="en-GB"/>
        </w:rPr>
        <w:t>9</w:t>
      </w:r>
      <w:r w:rsidRPr="002177B2">
        <w:rPr>
          <w:rFonts w:ascii="Arial" w:eastAsia="SimSun" w:hAnsi="Arial" w:cs="Times New Roman"/>
          <w:b/>
          <w:bCs/>
          <w:i/>
          <w:iCs/>
          <w:sz w:val="18"/>
          <w:lang w:val="en-GB" w:eastAsia="en-GB"/>
        </w:rPr>
        <w:fldChar w:fldCharType="end"/>
      </w:r>
      <w:bookmarkEnd w:id="4"/>
      <w:r w:rsidRPr="002177B2">
        <w:rPr>
          <w:rFonts w:ascii="Arial" w:eastAsia="SimSun" w:hAnsi="Arial" w:cs="Times New Roman"/>
          <w:b/>
          <w:bCs/>
          <w:i/>
          <w:iCs/>
          <w:sz w:val="18"/>
          <w:lang w:val="en-GB" w:eastAsia="en-GB"/>
        </w:rPr>
        <w:t>.</w:t>
      </w:r>
      <w:proofErr w:type="gramEnd"/>
      <w:r w:rsidRPr="002177B2">
        <w:rPr>
          <w:rFonts w:ascii="Arial" w:eastAsia="SimSun" w:hAnsi="Arial" w:cs="Times New Roman"/>
          <w:bCs/>
          <w:i/>
          <w:iCs/>
          <w:sz w:val="18"/>
          <w:lang w:val="en-GB" w:eastAsia="en-GB"/>
        </w:rPr>
        <w:t xml:space="preserve"> Copper Hill solid geology interpretation with major structural trends derived from surface mapping and orientated drill core measurements. (Geology by Hayward and </w:t>
      </w:r>
      <w:proofErr w:type="spellStart"/>
      <w:r w:rsidRPr="002177B2">
        <w:rPr>
          <w:rFonts w:ascii="Arial" w:eastAsia="SimSun" w:hAnsi="Arial" w:cs="Times New Roman"/>
          <w:bCs/>
          <w:i/>
          <w:iCs/>
          <w:sz w:val="18"/>
          <w:lang w:val="en-GB" w:eastAsia="en-GB"/>
        </w:rPr>
        <w:t>Coianiz</w:t>
      </w:r>
      <w:proofErr w:type="spellEnd"/>
      <w:r w:rsidRPr="002177B2">
        <w:rPr>
          <w:rFonts w:ascii="Arial" w:eastAsia="SimSun" w:hAnsi="Arial" w:cs="Times New Roman"/>
          <w:bCs/>
          <w:i/>
          <w:iCs/>
          <w:sz w:val="18"/>
          <w:lang w:val="en-GB" w:eastAsia="en-GB"/>
        </w:rPr>
        <w:t xml:space="preserve">; Adapted from Bathurst 1:250000 geology sheet and </w:t>
      </w:r>
      <w:proofErr w:type="spellStart"/>
      <w:r w:rsidRPr="002177B2">
        <w:rPr>
          <w:rFonts w:ascii="Arial" w:eastAsia="SimSun" w:hAnsi="Arial" w:cs="Times New Roman"/>
          <w:bCs/>
          <w:i/>
          <w:iCs/>
          <w:sz w:val="18"/>
          <w:lang w:val="en-GB" w:eastAsia="en-GB"/>
        </w:rPr>
        <w:t>Chivas</w:t>
      </w:r>
      <w:proofErr w:type="spellEnd"/>
      <w:r w:rsidRPr="002177B2">
        <w:rPr>
          <w:rFonts w:ascii="Arial" w:eastAsia="SimSun" w:hAnsi="Arial" w:cs="Times New Roman"/>
          <w:bCs/>
          <w:i/>
          <w:iCs/>
          <w:sz w:val="18"/>
          <w:lang w:val="en-GB" w:eastAsia="en-GB"/>
        </w:rPr>
        <w:t xml:space="preserve"> </w:t>
      </w:r>
      <w:proofErr w:type="gramStart"/>
      <w:r w:rsidRPr="002177B2">
        <w:rPr>
          <w:rFonts w:ascii="Arial" w:eastAsia="SimSun" w:hAnsi="Arial" w:cs="Times New Roman"/>
          <w:bCs/>
          <w:i/>
          <w:iCs/>
          <w:sz w:val="18"/>
          <w:lang w:val="en-GB" w:eastAsia="en-GB"/>
        </w:rPr>
        <w:t>1971 )</w:t>
      </w:r>
      <w:proofErr w:type="gramEnd"/>
      <w:r w:rsidRPr="002177B2">
        <w:rPr>
          <w:rFonts w:ascii="Arial" w:eastAsia="SimSun" w:hAnsi="Arial" w:cs="Times New Roman"/>
          <w:bCs/>
          <w:i/>
          <w:iCs/>
          <w:sz w:val="18"/>
          <w:lang w:val="en-GB" w:eastAsia="en-GB"/>
        </w:rPr>
        <w:t>.</w:t>
      </w:r>
      <w:r w:rsidRPr="002177B2">
        <w:rPr>
          <w:rFonts w:ascii="Arial" w:eastAsia="Times New Roman" w:hAnsi="Arial" w:cs="Arial"/>
          <w:sz w:val="20"/>
          <w:lang w:val="en-GB" w:eastAsia="en-GB"/>
        </w:rPr>
        <w:t xml:space="preserve"> </w:t>
      </w:r>
    </w:p>
    <w:p w:rsidR="002177B2" w:rsidRPr="002177B2" w:rsidRDefault="002177B2" w:rsidP="002177B2">
      <w:pPr>
        <w:spacing w:after="160" w:line="252" w:lineRule="auto"/>
        <w:jc w:val="both"/>
        <w:rPr>
          <w:rFonts w:ascii="Arial" w:eastAsia="Times New Roman" w:hAnsi="Arial" w:cs="Arial"/>
          <w:sz w:val="20"/>
          <w:lang w:val="en-GB" w:eastAsia="en-GB"/>
        </w:rPr>
      </w:pPr>
      <w:r w:rsidRPr="002177B2">
        <w:rPr>
          <w:rFonts w:ascii="Arial" w:eastAsia="Times New Roman" w:hAnsi="Arial" w:cs="Arial"/>
          <w:sz w:val="20"/>
          <w:lang w:val="en-GB" w:eastAsia="en-GB"/>
        </w:rPr>
        <w:br w:type="page"/>
      </w:r>
    </w:p>
    <w:p w:rsidR="002177B2" w:rsidRPr="002177B2" w:rsidRDefault="002177B2" w:rsidP="002177B2">
      <w:pPr>
        <w:spacing w:after="160" w:line="252" w:lineRule="auto"/>
        <w:jc w:val="center"/>
        <w:rPr>
          <w:rFonts w:ascii="Arial" w:eastAsia="SimSun" w:hAnsi="Arial" w:cs="Times New Roman"/>
          <w:bCs/>
          <w:i/>
          <w:iCs/>
          <w:sz w:val="18"/>
          <w:lang w:val="en-GB" w:eastAsia="en-GB"/>
        </w:rPr>
      </w:pPr>
      <w:r>
        <w:rPr>
          <w:rFonts w:ascii="Arial" w:eastAsia="Times New Roman" w:hAnsi="Arial" w:cs="Arial"/>
          <w:noProof/>
          <w:sz w:val="20"/>
          <w:szCs w:val="20"/>
          <w:lang w:eastAsia="en-AU"/>
        </w:rPr>
        <w:lastRenderedPageBreak/>
        <w:drawing>
          <wp:inline distT="0" distB="0" distL="0" distR="0">
            <wp:extent cx="5010150" cy="3419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10150" cy="3419475"/>
                    </a:xfrm>
                    <a:prstGeom prst="rect">
                      <a:avLst/>
                    </a:prstGeom>
                    <a:noFill/>
                    <a:ln>
                      <a:noFill/>
                    </a:ln>
                  </pic:spPr>
                </pic:pic>
              </a:graphicData>
            </a:graphic>
          </wp:inline>
        </w:drawing>
      </w:r>
      <w:bookmarkStart w:id="5" w:name="_Ref414368572"/>
      <w:bookmarkStart w:id="6" w:name="_Toc425407238"/>
      <w:r w:rsidRPr="002177B2">
        <w:rPr>
          <w:rFonts w:ascii="Arial" w:eastAsia="Times New Roman" w:hAnsi="Arial" w:cs="Arial"/>
          <w:noProof/>
          <w:sz w:val="20"/>
          <w:szCs w:val="20"/>
          <w:lang w:val="en-GB" w:eastAsia="en-GB"/>
        </w:rPr>
        <w:br/>
      </w:r>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sz w:val="18"/>
          <w:lang w:val="en-GB" w:eastAsia="en-GB"/>
        </w:rPr>
        <w:t>10</w:t>
      </w:r>
      <w:r w:rsidRPr="002177B2">
        <w:rPr>
          <w:rFonts w:ascii="Arial" w:eastAsia="SimSun" w:hAnsi="Arial" w:cs="Times New Roman"/>
          <w:b/>
          <w:bCs/>
          <w:i/>
          <w:iCs/>
          <w:sz w:val="18"/>
          <w:lang w:val="en-GB" w:eastAsia="en-GB"/>
        </w:rPr>
        <w:fldChar w:fldCharType="end"/>
      </w:r>
      <w:bookmarkEnd w:id="5"/>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Copper Hill simplified conceptual geological model showing overprinting stages, but with earlier events not drawn on the later stages (Corbett &amp; Hayward, March 2015)</w:t>
      </w:r>
      <w:bookmarkEnd w:id="6"/>
      <w:r w:rsidRPr="002177B2">
        <w:rPr>
          <w:rFonts w:ascii="Arial" w:eastAsia="SimSun" w:hAnsi="Arial" w:cs="Times New Roman"/>
          <w:bCs/>
          <w:i/>
          <w:iCs/>
          <w:sz w:val="18"/>
          <w:lang w:val="en-GB" w:eastAsia="en-GB"/>
        </w:rPr>
        <w:t>.</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SimSun" w:hAnsi="Arial" w:cs="Times New Roman"/>
          <w:bCs/>
          <w:i/>
          <w:iCs/>
          <w:sz w:val="18"/>
          <w:lang w:val="en-GB" w:eastAsia="en-GB"/>
        </w:rPr>
        <w:br w:type="page"/>
      </w:r>
      <w:proofErr w:type="spellStart"/>
      <w:r w:rsidRPr="002177B2">
        <w:rPr>
          <w:rFonts w:ascii="Arial" w:eastAsia="Times New Roman" w:hAnsi="Arial" w:cs="Arial"/>
          <w:sz w:val="20"/>
          <w:szCs w:val="20"/>
          <w:lang w:val="en-GB" w:eastAsia="en-GB"/>
        </w:rPr>
        <w:lastRenderedPageBreak/>
        <w:t>Syn</w:t>
      </w:r>
      <w:proofErr w:type="spellEnd"/>
      <w:r w:rsidRPr="002177B2">
        <w:rPr>
          <w:rFonts w:ascii="Arial" w:eastAsia="Times New Roman" w:hAnsi="Arial" w:cs="Arial"/>
          <w:sz w:val="20"/>
          <w:szCs w:val="20"/>
          <w:lang w:val="en-GB" w:eastAsia="en-GB"/>
        </w:rPr>
        <w:t xml:space="preserve">- and post-mineralisation CTP in GCHD470 are texturally similar to the main body and characterised by cross-cutting field relationships and different mineralisation style associated with each phase.  </w:t>
      </w:r>
    </w:p>
    <w:p w:rsidR="002177B2" w:rsidRPr="002177B2" w:rsidRDefault="002177B2" w:rsidP="002177B2">
      <w:pPr>
        <w:spacing w:after="160" w:line="252" w:lineRule="auto"/>
        <w:jc w:val="both"/>
        <w:rPr>
          <w:rFonts w:ascii="Arial" w:eastAsia="Times New Roman" w:hAnsi="Arial" w:cs="Arial"/>
          <w:sz w:val="20"/>
          <w:szCs w:val="20"/>
          <w:lang w:val="en-GB" w:eastAsia="en-GB"/>
        </w:rPr>
      </w:pPr>
      <w:proofErr w:type="spellStart"/>
      <w:r w:rsidRPr="002177B2">
        <w:rPr>
          <w:rFonts w:ascii="Arial" w:eastAsia="Times New Roman" w:hAnsi="Arial" w:cs="Arial"/>
          <w:i/>
          <w:sz w:val="20"/>
          <w:szCs w:val="20"/>
          <w:lang w:val="en-GB" w:eastAsia="en-GB"/>
        </w:rPr>
        <w:t>Microtonalite</w:t>
      </w:r>
      <w:proofErr w:type="spellEnd"/>
      <w:r w:rsidRPr="002177B2">
        <w:rPr>
          <w:rFonts w:ascii="Arial" w:eastAsia="Times New Roman" w:hAnsi="Arial" w:cs="Arial"/>
          <w:i/>
          <w:sz w:val="20"/>
          <w:szCs w:val="20"/>
          <w:lang w:val="en-GB" w:eastAsia="en-GB"/>
        </w:rPr>
        <w:t xml:space="preserve"> porphyry (MTP)</w:t>
      </w:r>
      <w:r w:rsidRPr="002177B2">
        <w:rPr>
          <w:rFonts w:ascii="Arial" w:eastAsia="Times New Roman" w:hAnsi="Arial" w:cs="Arial"/>
          <w:sz w:val="20"/>
          <w:szCs w:val="20"/>
          <w:lang w:val="en-GB" w:eastAsia="en-GB"/>
        </w:rPr>
        <w:t xml:space="preserve"> intrusions represent a suite of fine to medium-grained plagioclase-</w:t>
      </w:r>
      <w:proofErr w:type="spellStart"/>
      <w:r w:rsidRPr="002177B2">
        <w:rPr>
          <w:rFonts w:ascii="Arial" w:eastAsia="Times New Roman" w:hAnsi="Arial" w:cs="Arial"/>
          <w:sz w:val="20"/>
          <w:szCs w:val="20"/>
          <w:lang w:val="en-GB" w:eastAsia="en-GB"/>
        </w:rPr>
        <w:t>phyric</w:t>
      </w:r>
      <w:proofErr w:type="spellEnd"/>
      <w:r w:rsidRPr="002177B2">
        <w:rPr>
          <w:rFonts w:ascii="Arial" w:eastAsia="Times New Roman" w:hAnsi="Arial" w:cs="Arial"/>
          <w:sz w:val="20"/>
          <w:szCs w:val="20"/>
          <w:lang w:val="en-GB" w:eastAsia="en-GB"/>
        </w:rPr>
        <w:t xml:space="preserve"> stocks and dykes with minor (&lt;1%) </w:t>
      </w:r>
      <w:proofErr w:type="spellStart"/>
      <w:r w:rsidRPr="002177B2">
        <w:rPr>
          <w:rFonts w:ascii="Arial" w:eastAsia="Times New Roman" w:hAnsi="Arial" w:cs="Arial"/>
          <w:sz w:val="20"/>
          <w:szCs w:val="20"/>
          <w:lang w:val="en-GB" w:eastAsia="en-GB"/>
        </w:rPr>
        <w:t>subhedral</w:t>
      </w:r>
      <w:proofErr w:type="spellEnd"/>
      <w:r w:rsidRPr="002177B2">
        <w:rPr>
          <w:rFonts w:ascii="Arial" w:eastAsia="Times New Roman" w:hAnsi="Arial" w:cs="Arial"/>
          <w:sz w:val="20"/>
          <w:szCs w:val="20"/>
          <w:lang w:val="en-GB" w:eastAsia="en-GB"/>
        </w:rPr>
        <w:t xml:space="preserve"> quartz phenocrysts and occasional CTP xenoliths. </w:t>
      </w:r>
      <w:proofErr w:type="spellStart"/>
      <w:r w:rsidRPr="002177B2">
        <w:rPr>
          <w:rFonts w:ascii="Arial" w:eastAsia="Times New Roman" w:hAnsi="Arial" w:cs="Arial"/>
          <w:sz w:val="20"/>
          <w:szCs w:val="20"/>
          <w:lang w:val="en-GB" w:eastAsia="en-GB"/>
        </w:rPr>
        <w:t>Microtonalite</w:t>
      </w:r>
      <w:proofErr w:type="spellEnd"/>
      <w:r w:rsidRPr="002177B2">
        <w:rPr>
          <w:rFonts w:ascii="Arial" w:eastAsia="Times New Roman" w:hAnsi="Arial" w:cs="Arial"/>
          <w:sz w:val="20"/>
          <w:szCs w:val="20"/>
          <w:lang w:val="en-GB" w:eastAsia="en-GB"/>
        </w:rPr>
        <w:t xml:space="preserve"> porphyry is usually strongly altered and temporally and spatially associated with high grade copper-gold mineralisation as sheeted and </w:t>
      </w:r>
      <w:proofErr w:type="spellStart"/>
      <w:r w:rsidRPr="002177B2">
        <w:rPr>
          <w:rFonts w:ascii="Arial" w:eastAsia="Times New Roman" w:hAnsi="Arial" w:cs="Arial"/>
          <w:sz w:val="20"/>
          <w:szCs w:val="20"/>
          <w:lang w:val="en-GB" w:eastAsia="en-GB"/>
        </w:rPr>
        <w:t>stockwork</w:t>
      </w:r>
      <w:proofErr w:type="spellEnd"/>
      <w:r w:rsidRPr="002177B2">
        <w:rPr>
          <w:rFonts w:ascii="Arial" w:eastAsia="Times New Roman" w:hAnsi="Arial" w:cs="Arial"/>
          <w:sz w:val="20"/>
          <w:szCs w:val="20"/>
          <w:lang w:val="en-GB" w:eastAsia="en-GB"/>
        </w:rPr>
        <w:t xml:space="preserve"> porphyry-style veins and disseminated sulphides, along east-west trending structures, and at the intersections of major structures.  MTP are volumetric small with dykes to 10m thick in the new drill hole GCHD474 and a 75 metre down-hole thickness in DDH GCHD470.  The vertical extent of the MTP is not fully defined by drilling.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 xml:space="preserve">Quartz </w:t>
      </w:r>
      <w:proofErr w:type="spellStart"/>
      <w:r w:rsidRPr="002177B2">
        <w:rPr>
          <w:rFonts w:ascii="Arial" w:eastAsia="Times New Roman" w:hAnsi="Arial" w:cs="Arial"/>
          <w:i/>
          <w:sz w:val="20"/>
          <w:szCs w:val="20"/>
          <w:lang w:val="en-GB" w:eastAsia="en-GB"/>
        </w:rPr>
        <w:t>tonalite</w:t>
      </w:r>
      <w:proofErr w:type="spellEnd"/>
      <w:r w:rsidRPr="002177B2">
        <w:rPr>
          <w:rFonts w:ascii="Arial" w:eastAsia="Times New Roman" w:hAnsi="Arial" w:cs="Arial"/>
          <w:i/>
          <w:sz w:val="20"/>
          <w:szCs w:val="20"/>
          <w:lang w:val="en-GB" w:eastAsia="en-GB"/>
        </w:rPr>
        <w:t xml:space="preserve"> porphyry (QTP)</w:t>
      </w:r>
      <w:r w:rsidRPr="002177B2">
        <w:rPr>
          <w:rFonts w:ascii="Arial" w:eastAsia="Times New Roman" w:hAnsi="Arial" w:cs="Arial"/>
          <w:sz w:val="20"/>
          <w:szCs w:val="20"/>
          <w:lang w:val="en-GB" w:eastAsia="en-GB"/>
        </w:rPr>
        <w:t xml:space="preserve"> is the predominant post-mineralisation intrusion phase. QTP breccia clasts with quartz veins in GCHD469 at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suggest QTP intrusions were also been present within the early intrusion history or the deposit or the </w:t>
      </w:r>
      <w:proofErr w:type="spellStart"/>
      <w:r w:rsidRPr="002177B2">
        <w:rPr>
          <w:rFonts w:ascii="Arial" w:eastAsia="Times New Roman" w:hAnsi="Arial" w:cs="Arial"/>
          <w:sz w:val="20"/>
          <w:szCs w:val="20"/>
          <w:lang w:val="en-GB" w:eastAsia="en-GB"/>
        </w:rPr>
        <w:t>breccias</w:t>
      </w:r>
      <w:proofErr w:type="spellEnd"/>
      <w:r w:rsidRPr="002177B2">
        <w:rPr>
          <w:rFonts w:ascii="Arial" w:eastAsia="Times New Roman" w:hAnsi="Arial" w:cs="Arial"/>
          <w:sz w:val="20"/>
          <w:szCs w:val="20"/>
          <w:lang w:val="en-GB" w:eastAsia="en-GB"/>
        </w:rPr>
        <w:t xml:space="preserve"> were driven by a later intrusion event.  QTP is a coarse-grained (3-5mm), massive porphyry with variable (3-7%) </w:t>
      </w:r>
      <w:proofErr w:type="spellStart"/>
      <w:r w:rsidRPr="002177B2">
        <w:rPr>
          <w:rFonts w:ascii="Arial" w:eastAsia="Times New Roman" w:hAnsi="Arial" w:cs="Arial"/>
          <w:sz w:val="20"/>
          <w:szCs w:val="20"/>
          <w:lang w:val="en-GB" w:eastAsia="en-GB"/>
        </w:rPr>
        <w:t>subhedral</w:t>
      </w:r>
      <w:proofErr w:type="spellEnd"/>
      <w:r w:rsidRPr="002177B2">
        <w:rPr>
          <w:rFonts w:ascii="Arial" w:eastAsia="Times New Roman" w:hAnsi="Arial" w:cs="Arial"/>
          <w:sz w:val="20"/>
          <w:szCs w:val="20"/>
          <w:lang w:val="en-GB" w:eastAsia="en-GB"/>
        </w:rPr>
        <w:t xml:space="preserve"> to </w:t>
      </w:r>
      <w:proofErr w:type="spellStart"/>
      <w:r w:rsidRPr="002177B2">
        <w:rPr>
          <w:rFonts w:ascii="Arial" w:eastAsia="Times New Roman" w:hAnsi="Arial" w:cs="Arial"/>
          <w:sz w:val="20"/>
          <w:szCs w:val="20"/>
          <w:lang w:val="en-GB" w:eastAsia="en-GB"/>
        </w:rPr>
        <w:t>bipyramidal</w:t>
      </w:r>
      <w:proofErr w:type="spellEnd"/>
      <w:r w:rsidRPr="002177B2">
        <w:rPr>
          <w:rFonts w:ascii="Arial" w:eastAsia="Times New Roman" w:hAnsi="Arial" w:cs="Arial"/>
          <w:sz w:val="20"/>
          <w:szCs w:val="20"/>
          <w:lang w:val="en-GB" w:eastAsia="en-GB"/>
        </w:rPr>
        <w:t xml:space="preserve"> quartz phenocrysts and red orange hematite dusting.  The largest QTP body occurs on the western margin of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with all drill holes terminating in this unit.</w:t>
      </w:r>
    </w:p>
    <w:p w:rsidR="002177B2" w:rsidRPr="002177B2" w:rsidRDefault="002177B2" w:rsidP="002177B2">
      <w:pPr>
        <w:spacing w:after="160" w:line="252" w:lineRule="auto"/>
        <w:jc w:val="both"/>
        <w:rPr>
          <w:rFonts w:ascii="Arial" w:eastAsia="Times New Roman" w:hAnsi="Arial" w:cs="Arial"/>
          <w:sz w:val="20"/>
          <w:szCs w:val="20"/>
          <w:lang w:val="en-GB" w:eastAsia="en-GB"/>
        </w:rPr>
      </w:pPr>
      <w:proofErr w:type="gramStart"/>
      <w:r w:rsidRPr="002177B2">
        <w:rPr>
          <w:rFonts w:ascii="Arial" w:eastAsia="Times New Roman" w:hAnsi="Arial" w:cs="Arial"/>
          <w:sz w:val="20"/>
          <w:szCs w:val="20"/>
          <w:lang w:val="en-GB" w:eastAsia="en-GB"/>
        </w:rPr>
        <w:t xml:space="preserve">Late stage unaltered barren dykes of </w:t>
      </w:r>
      <w:r w:rsidRPr="002177B2">
        <w:rPr>
          <w:rFonts w:ascii="Arial" w:eastAsia="Times New Roman" w:hAnsi="Arial" w:cs="Arial"/>
          <w:i/>
          <w:sz w:val="20"/>
          <w:szCs w:val="20"/>
          <w:lang w:val="en-GB" w:eastAsia="en-GB"/>
        </w:rPr>
        <w:t xml:space="preserve">hornblende </w:t>
      </w:r>
      <w:proofErr w:type="spellStart"/>
      <w:r w:rsidRPr="002177B2">
        <w:rPr>
          <w:rFonts w:ascii="Arial" w:eastAsia="Times New Roman" w:hAnsi="Arial" w:cs="Arial"/>
          <w:i/>
          <w:sz w:val="20"/>
          <w:szCs w:val="20"/>
          <w:lang w:val="en-GB" w:eastAsia="en-GB"/>
        </w:rPr>
        <w:t>tonalite</w:t>
      </w:r>
      <w:proofErr w:type="spellEnd"/>
      <w:r w:rsidRPr="002177B2">
        <w:rPr>
          <w:rFonts w:ascii="Arial" w:eastAsia="Times New Roman" w:hAnsi="Arial" w:cs="Arial"/>
          <w:i/>
          <w:sz w:val="20"/>
          <w:szCs w:val="20"/>
          <w:lang w:val="en-GB" w:eastAsia="en-GB"/>
        </w:rPr>
        <w:t xml:space="preserve"> porphyry (HTP),</w:t>
      </w:r>
      <w:r w:rsidRPr="002177B2">
        <w:rPr>
          <w:rFonts w:ascii="Arial" w:eastAsia="Times New Roman" w:hAnsi="Arial" w:cs="Arial"/>
          <w:sz w:val="20"/>
          <w:szCs w:val="20"/>
          <w:lang w:val="en-GB" w:eastAsia="en-GB"/>
        </w:rPr>
        <w:t xml:space="preserve"> </w:t>
      </w:r>
      <w:r w:rsidRPr="002177B2">
        <w:rPr>
          <w:rFonts w:ascii="Arial" w:eastAsia="Times New Roman" w:hAnsi="Arial" w:cs="Arial"/>
          <w:i/>
          <w:sz w:val="20"/>
          <w:szCs w:val="20"/>
          <w:lang w:val="en-GB" w:eastAsia="en-GB"/>
        </w:rPr>
        <w:t xml:space="preserve">sparse feldspar </w:t>
      </w:r>
      <w:proofErr w:type="spellStart"/>
      <w:r w:rsidRPr="002177B2">
        <w:rPr>
          <w:rFonts w:ascii="Arial" w:eastAsia="Times New Roman" w:hAnsi="Arial" w:cs="Arial"/>
          <w:i/>
          <w:sz w:val="20"/>
          <w:szCs w:val="20"/>
          <w:lang w:val="en-GB" w:eastAsia="en-GB"/>
        </w:rPr>
        <w:t>tonalite</w:t>
      </w:r>
      <w:proofErr w:type="spellEnd"/>
      <w:r w:rsidRPr="002177B2">
        <w:rPr>
          <w:rFonts w:ascii="Arial" w:eastAsia="Times New Roman" w:hAnsi="Arial" w:cs="Arial"/>
          <w:i/>
          <w:sz w:val="20"/>
          <w:szCs w:val="20"/>
          <w:lang w:val="en-GB" w:eastAsia="en-GB"/>
        </w:rPr>
        <w:t xml:space="preserve"> porphyry (SPTP)</w:t>
      </w:r>
      <w:r w:rsidRPr="002177B2">
        <w:rPr>
          <w:rFonts w:ascii="Arial" w:eastAsia="Times New Roman" w:hAnsi="Arial" w:cs="Arial"/>
          <w:sz w:val="20"/>
          <w:szCs w:val="20"/>
          <w:lang w:val="en-GB" w:eastAsia="en-GB"/>
        </w:rPr>
        <w:t xml:space="preserve">, </w:t>
      </w:r>
      <w:r w:rsidRPr="002177B2">
        <w:rPr>
          <w:rFonts w:ascii="Arial" w:eastAsia="Times New Roman" w:hAnsi="Arial" w:cs="Arial"/>
          <w:i/>
          <w:sz w:val="20"/>
          <w:szCs w:val="20"/>
          <w:lang w:val="en-GB" w:eastAsia="en-GB"/>
        </w:rPr>
        <w:t>andesite dykes</w:t>
      </w:r>
      <w:r w:rsidRPr="002177B2">
        <w:rPr>
          <w:rFonts w:ascii="Arial" w:eastAsia="Times New Roman" w:hAnsi="Arial" w:cs="Arial"/>
          <w:sz w:val="20"/>
          <w:szCs w:val="20"/>
          <w:lang w:val="en-GB" w:eastAsia="en-GB"/>
        </w:rPr>
        <w:t xml:space="preserve"> and </w:t>
      </w:r>
      <w:r w:rsidRPr="002177B2">
        <w:rPr>
          <w:rFonts w:ascii="Arial" w:eastAsia="Times New Roman" w:hAnsi="Arial" w:cs="Arial"/>
          <w:i/>
          <w:sz w:val="20"/>
          <w:szCs w:val="20"/>
          <w:lang w:val="en-GB" w:eastAsia="en-GB"/>
        </w:rPr>
        <w:t xml:space="preserve">brown </w:t>
      </w:r>
      <w:proofErr w:type="spellStart"/>
      <w:r w:rsidRPr="002177B2">
        <w:rPr>
          <w:rFonts w:ascii="Arial" w:eastAsia="Times New Roman" w:hAnsi="Arial" w:cs="Arial"/>
          <w:i/>
          <w:sz w:val="20"/>
          <w:szCs w:val="20"/>
          <w:lang w:val="en-GB" w:eastAsia="en-GB"/>
        </w:rPr>
        <w:t>dacite</w:t>
      </w:r>
      <w:proofErr w:type="spellEnd"/>
      <w:r w:rsidRPr="002177B2">
        <w:rPr>
          <w:rFonts w:ascii="Arial" w:eastAsia="Times New Roman" w:hAnsi="Arial" w:cs="Arial"/>
          <w:i/>
          <w:sz w:val="20"/>
          <w:szCs w:val="20"/>
          <w:lang w:val="en-GB" w:eastAsia="en-GB"/>
        </w:rPr>
        <w:t xml:space="preserve"> porphyry</w:t>
      </w:r>
      <w:r w:rsidRPr="002177B2">
        <w:rPr>
          <w:rFonts w:ascii="Arial" w:eastAsia="Times New Roman" w:hAnsi="Arial" w:cs="Arial"/>
          <w:sz w:val="20"/>
          <w:szCs w:val="20"/>
          <w:lang w:val="en-GB" w:eastAsia="en-GB"/>
        </w:rPr>
        <w:t xml:space="preserve"> cross-cut the volcanic stratigraphy and all earlier porphyry intrusions.</w:t>
      </w:r>
      <w:proofErr w:type="gramEnd"/>
      <w:r w:rsidRPr="002177B2">
        <w:rPr>
          <w:rFonts w:ascii="Arial" w:eastAsia="Times New Roman" w:hAnsi="Arial" w:cs="Arial"/>
          <w:sz w:val="20"/>
          <w:szCs w:val="20"/>
          <w:lang w:val="en-GB" w:eastAsia="en-GB"/>
        </w:rPr>
        <w:t xml:space="preserv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 xml:space="preserve">Hydrothermal </w:t>
      </w:r>
      <w:proofErr w:type="spellStart"/>
      <w:r w:rsidRPr="002177B2">
        <w:rPr>
          <w:rFonts w:ascii="Arial" w:eastAsia="Times New Roman" w:hAnsi="Arial" w:cs="Arial"/>
          <w:i/>
          <w:sz w:val="20"/>
          <w:szCs w:val="20"/>
          <w:lang w:val="en-GB" w:eastAsia="en-GB"/>
        </w:rPr>
        <w:t>breccias</w:t>
      </w:r>
      <w:proofErr w:type="spellEnd"/>
      <w:r w:rsidRPr="002177B2">
        <w:rPr>
          <w:rFonts w:ascii="Arial" w:eastAsia="Times New Roman" w:hAnsi="Arial" w:cs="Arial"/>
          <w:i/>
          <w:sz w:val="20"/>
          <w:szCs w:val="20"/>
          <w:lang w:val="en-GB" w:eastAsia="en-GB"/>
        </w:rPr>
        <w:t xml:space="preserve"> (HBX)</w:t>
      </w:r>
      <w:r w:rsidRPr="002177B2">
        <w:rPr>
          <w:rFonts w:ascii="Arial" w:eastAsia="Times New Roman" w:hAnsi="Arial" w:cs="Arial"/>
          <w:sz w:val="20"/>
          <w:szCs w:val="20"/>
          <w:lang w:val="en-GB" w:eastAsia="en-GB"/>
        </w:rPr>
        <w:t xml:space="preserve"> occur throughout the intrusion and mineralisation history of Copper Hill.  HBX at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closest to the QTP contact contain quartz vein and K-feldspar altered porphyry clasts sourced from depth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_Ref414366359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13</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HBX outboard further to the east are similar to quartz-magnetite vein clast dominant </w:t>
      </w:r>
      <w:proofErr w:type="spellStart"/>
      <w:r w:rsidRPr="002177B2">
        <w:rPr>
          <w:rFonts w:ascii="Arial" w:eastAsia="Times New Roman" w:hAnsi="Arial" w:cs="Arial"/>
          <w:sz w:val="20"/>
          <w:szCs w:val="20"/>
          <w:lang w:val="en-GB" w:eastAsia="en-GB"/>
        </w:rPr>
        <w:t>syn</w:t>
      </w:r>
      <w:proofErr w:type="spellEnd"/>
      <w:r w:rsidRPr="002177B2">
        <w:rPr>
          <w:rFonts w:ascii="Arial" w:eastAsia="Times New Roman" w:hAnsi="Arial" w:cs="Arial"/>
          <w:sz w:val="20"/>
          <w:szCs w:val="20"/>
          <w:lang w:val="en-GB" w:eastAsia="en-GB"/>
        </w:rPr>
        <w:t>- to post main stage mineralisation HBX below the former open pit.</w:t>
      </w: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Mineralisation and Alteration</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Copper Hill is classified as copper-gold porphyry mineralisation (Corbett and Leach, 1998) that is spatially and temporally associated with variably mineralised </w:t>
      </w:r>
      <w:proofErr w:type="spellStart"/>
      <w:r w:rsidRPr="002177B2">
        <w:rPr>
          <w:rFonts w:ascii="Arial" w:eastAsia="Times New Roman" w:hAnsi="Arial" w:cs="Arial"/>
          <w:sz w:val="20"/>
          <w:szCs w:val="20"/>
          <w:lang w:val="en-GB" w:eastAsia="en-GB"/>
        </w:rPr>
        <w:t>calc</w:t>
      </w:r>
      <w:proofErr w:type="spellEnd"/>
      <w:r w:rsidRPr="002177B2">
        <w:rPr>
          <w:rFonts w:ascii="Arial" w:eastAsia="Times New Roman" w:hAnsi="Arial" w:cs="Arial"/>
          <w:sz w:val="20"/>
          <w:szCs w:val="20"/>
          <w:lang w:val="en-GB" w:eastAsia="en-GB"/>
        </w:rPr>
        <w:t xml:space="preserve">-alkaline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and as </w:t>
      </w:r>
      <w:proofErr w:type="spellStart"/>
      <w:r w:rsidRPr="002177B2">
        <w:rPr>
          <w:rFonts w:ascii="Arial" w:eastAsia="Times New Roman" w:hAnsi="Arial" w:cs="Arial"/>
          <w:sz w:val="20"/>
          <w:szCs w:val="20"/>
          <w:lang w:val="en-GB" w:eastAsia="en-GB"/>
        </w:rPr>
        <w:t>wallrock</w:t>
      </w:r>
      <w:proofErr w:type="spellEnd"/>
      <w:r w:rsidRPr="002177B2">
        <w:rPr>
          <w:rFonts w:ascii="Arial" w:eastAsia="Times New Roman" w:hAnsi="Arial" w:cs="Arial"/>
          <w:sz w:val="20"/>
          <w:szCs w:val="20"/>
          <w:lang w:val="en-GB" w:eastAsia="en-GB"/>
        </w:rPr>
        <w:t xml:space="preserve"> porphyry mineralisation in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and early stage intrusions. Six stages of mineralisation are proposed that span the porphyry and epithermal environment (Figure 3; Corbett and Hayward, </w:t>
      </w:r>
      <w:proofErr w:type="spellStart"/>
      <w:r w:rsidRPr="002177B2">
        <w:rPr>
          <w:rFonts w:ascii="Arial" w:eastAsia="Times New Roman" w:hAnsi="Arial" w:cs="Arial"/>
          <w:sz w:val="20"/>
          <w:szCs w:val="20"/>
          <w:lang w:val="en-GB" w:eastAsia="en-GB"/>
        </w:rPr>
        <w:t>unpubl.data</w:t>
      </w:r>
      <w:proofErr w:type="spellEnd"/>
      <w:r w:rsidRPr="002177B2">
        <w:rPr>
          <w:rFonts w:ascii="Arial" w:eastAsia="Times New Roman" w:hAnsi="Arial" w:cs="Arial"/>
          <w:sz w:val="20"/>
          <w:szCs w:val="20"/>
          <w:lang w:val="en-GB" w:eastAsia="en-GB"/>
        </w:rPr>
        <w:t>) consistent with a typical porphyry-epithermal transition,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_Ref414368176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11</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Corbett, 2014).  The staged evolution of porphyry copper-gold systems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_Ref414368183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12</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described by Corbett (2009, 2014) provides a basis for interpretation of spatial and timing relationships of intrusion phases in the development of the Copper Hill system, and the inference of tectonic events such as uplift and erosion and rotation of directions of principal stress regime throughout the evolution of the magmatic hydrothermal system, illustrated in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_Ref414368572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10</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Copper and copper-gold mineralisation has been emplaced repeatedly throughout the evolution of the Copper Hill system with the spatial distribution and geometry of each event of mineralisation and associated prograde and retrograde hydrothermal alteration being highly variable over short distance.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Stage 1-</w:t>
      </w:r>
      <w:r w:rsidRPr="002177B2">
        <w:rPr>
          <w:rFonts w:ascii="Arial" w:eastAsia="Times New Roman" w:hAnsi="Arial" w:cs="Arial"/>
          <w:sz w:val="20"/>
          <w:szCs w:val="20"/>
          <w:lang w:val="en-GB" w:eastAsia="en-GB"/>
        </w:rPr>
        <w:t xml:space="preserve"> Stage 1 copper mineralisation is characterised by low grade (0.1-0.2% Cu) copper as dominantly disseminated and micro fracture controlled chalcopyrite that is localised close to the contact between of the early crowded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and quartz diorite porphyry (</w:t>
      </w:r>
      <w:proofErr w:type="spellStart"/>
      <w:r w:rsidRPr="002177B2">
        <w:rPr>
          <w:rFonts w:ascii="Arial" w:eastAsia="Times New Roman" w:hAnsi="Arial" w:cs="Arial"/>
          <w:sz w:val="20"/>
          <w:szCs w:val="20"/>
          <w:lang w:val="en-GB" w:eastAsia="en-GB"/>
        </w:rPr>
        <w:t>Chivas</w:t>
      </w:r>
      <w:proofErr w:type="spellEnd"/>
      <w:r w:rsidRPr="002177B2">
        <w:rPr>
          <w:rFonts w:ascii="Arial" w:eastAsia="Times New Roman" w:hAnsi="Arial" w:cs="Arial"/>
          <w:sz w:val="20"/>
          <w:szCs w:val="20"/>
          <w:lang w:val="en-GB" w:eastAsia="en-GB"/>
        </w:rPr>
        <w:t xml:space="preserve"> 1971, Hoy 2007), and within the broader pre-mineralisation crowded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Fine grained biotite-magnetite </w:t>
      </w:r>
      <w:proofErr w:type="spellStart"/>
      <w:r w:rsidRPr="002177B2">
        <w:rPr>
          <w:rFonts w:ascii="Arial" w:eastAsia="Times New Roman" w:hAnsi="Arial" w:cs="Arial"/>
          <w:sz w:val="20"/>
          <w:szCs w:val="20"/>
          <w:lang w:val="en-GB" w:eastAsia="en-GB"/>
        </w:rPr>
        <w:t>hornfels</w:t>
      </w:r>
      <w:proofErr w:type="spellEnd"/>
      <w:r w:rsidRPr="002177B2">
        <w:rPr>
          <w:rFonts w:ascii="Arial" w:eastAsia="Times New Roman" w:hAnsi="Arial" w:cs="Arial"/>
          <w:sz w:val="20"/>
          <w:szCs w:val="20"/>
          <w:lang w:val="en-GB" w:eastAsia="en-GB"/>
        </w:rPr>
        <w:t xml:space="preserve"> and quartz-calcite-chlorite-magnetite-pyrite+chalcopyrite+molybdenum distal E-veins within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above and peripheral to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to the northeast of the main intrusion system is interpreted to have been driven by the hydrothermal system associated with the earliest phases of Stage 1 quartz diorite and crowded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Stage 1 mineralised zones reflect the northwest trending geometry and distribution of the early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forms the bulk of mineralisation at Copper Hill and represents a background to all subsequent stages of mineralisation.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Stage 2</w:t>
      </w:r>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Copper</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molybdenum</w:t>
      </w:r>
      <w:proofErr w:type="spellEnd"/>
      <w:r w:rsidRPr="002177B2">
        <w:rPr>
          <w:rFonts w:ascii="Arial" w:eastAsia="Times New Roman" w:hAnsi="Arial" w:cs="Arial"/>
          <w:sz w:val="20"/>
          <w:szCs w:val="20"/>
          <w:lang w:val="en-GB" w:eastAsia="en-GB"/>
        </w:rPr>
        <w:t xml:space="preserve"> mineralisation (0.2-0.4% Cu, 0.2 g/t Au, 100ppm Mo) characteristic of the mid to upper levels of a porphyry system and peripheral to the porphyry source occurs in northwest trending structures with strong quartz-sericite-pyrite alteration </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 xml:space="preserve"> disseminated and vein </w:t>
      </w:r>
      <w:r w:rsidRPr="002177B2">
        <w:rPr>
          <w:rFonts w:ascii="Arial" w:eastAsia="Times New Roman" w:hAnsi="Arial" w:cs="Arial"/>
          <w:sz w:val="20"/>
          <w:szCs w:val="20"/>
          <w:lang w:val="en-GB" w:eastAsia="en-GB"/>
        </w:rPr>
        <w:lastRenderedPageBreak/>
        <w:t>style</w:t>
      </w:r>
      <w:r w:rsidRPr="002177B2">
        <w:rPr>
          <w:rFonts w:ascii="Arial" w:eastAsia="Times New Roman" w:hAnsi="Arial" w:cs="Arial"/>
          <w:sz w:val="20"/>
          <w:szCs w:val="20"/>
          <w:u w:val="single"/>
          <w:lang w:val="en-GB" w:eastAsia="en-GB"/>
        </w:rPr>
        <w:t xml:space="preserve"> </w:t>
      </w:r>
      <w:proofErr w:type="spellStart"/>
      <w:r w:rsidRPr="002177B2">
        <w:rPr>
          <w:rFonts w:ascii="Arial" w:eastAsia="Times New Roman" w:hAnsi="Arial" w:cs="Arial"/>
          <w:sz w:val="20"/>
          <w:szCs w:val="20"/>
          <w:lang w:val="en-GB" w:eastAsia="en-GB"/>
        </w:rPr>
        <w:t>chalcopyrite</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molybdenum</w:t>
      </w:r>
      <w:proofErr w:type="spellEnd"/>
      <w:r w:rsidRPr="002177B2">
        <w:rPr>
          <w:rFonts w:ascii="Arial" w:eastAsia="Times New Roman" w:hAnsi="Arial" w:cs="Arial"/>
          <w:sz w:val="20"/>
          <w:szCs w:val="20"/>
          <w:lang w:val="en-GB" w:eastAsia="en-GB"/>
        </w:rPr>
        <w:t xml:space="preserve"> [D-veins to quartz-sulphide veins] on the western side of Copper Hill. While the wall rocks to Stage 2 mineralisation comprise early crowded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and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no source porphyry has yet been recognised in drill core.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Sericite-dominant hydrothermal alteration mapped at Copper Hill is interpreted to have formed as part of stage 2 and is broadly zoned around the core of the system and mineralised structures.  Peripheral albite-sericite-pyrite (ACS) alteration occurs at depth and on the eastern margins of the system, peripheral to widespread sericite-chlorite-carbonate (SCC) alteration and is characterised by the complete alteration of feldspar and mafic minerals (Hoy 2007).  Chlorite aggregates (spots) are characteristic of SCC alteration and signal passing out of the core of the system. Structurally controlled quartz-sericite-pyrite (QSP) alteration with leached textures and weak disseminated chalcopyrite-molybdenum overprints all earlier assemblages.  Broad zones of weak argillic alteration developed as part of the QSP extend to depth and along structures on the western margins of the complex.</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 xml:space="preserve">Stage 3- </w:t>
      </w:r>
      <w:r w:rsidRPr="002177B2">
        <w:rPr>
          <w:rFonts w:ascii="Arial" w:eastAsia="Times New Roman" w:hAnsi="Arial" w:cs="Arial"/>
          <w:sz w:val="20"/>
          <w:szCs w:val="20"/>
          <w:lang w:val="en-GB" w:eastAsia="en-GB"/>
        </w:rPr>
        <w:t xml:space="preserve">Stage 3 is the main high-grade copper-gold event (0.4-5.3%Cu, 0.4-18.9g/t Au) at Copper Hill inclusive of low grade intra-mineral intrusions as the magmatic system wanes.   Mineralisation is characterised by quartz-magnetite M-veins, quartz-sulphide B-veins, and cross-cutting </w:t>
      </w:r>
      <w:proofErr w:type="spellStart"/>
      <w:r w:rsidRPr="002177B2">
        <w:rPr>
          <w:rFonts w:ascii="Arial" w:eastAsia="Times New Roman" w:hAnsi="Arial" w:cs="Arial"/>
          <w:sz w:val="20"/>
          <w:szCs w:val="20"/>
          <w:lang w:val="en-GB" w:eastAsia="en-GB"/>
        </w:rPr>
        <w:t>chalcopyrite+bornite</w:t>
      </w:r>
      <w:proofErr w:type="spellEnd"/>
      <w:r w:rsidRPr="002177B2">
        <w:rPr>
          <w:rFonts w:ascii="Arial" w:eastAsia="Times New Roman" w:hAnsi="Arial" w:cs="Arial"/>
          <w:sz w:val="20"/>
          <w:szCs w:val="20"/>
          <w:lang w:val="en-GB" w:eastAsia="en-GB"/>
        </w:rPr>
        <w:t xml:space="preserve"> C-veins as sheeted vein sets and lesser </w:t>
      </w:r>
      <w:proofErr w:type="spellStart"/>
      <w:r w:rsidRPr="002177B2">
        <w:rPr>
          <w:rFonts w:ascii="Arial" w:eastAsia="Times New Roman" w:hAnsi="Arial" w:cs="Arial"/>
          <w:sz w:val="20"/>
          <w:szCs w:val="20"/>
          <w:lang w:val="en-GB" w:eastAsia="en-GB"/>
        </w:rPr>
        <w:t>stockwork</w:t>
      </w:r>
      <w:proofErr w:type="spellEnd"/>
      <w:r w:rsidRPr="002177B2">
        <w:rPr>
          <w:rFonts w:ascii="Arial" w:eastAsia="Times New Roman" w:hAnsi="Arial" w:cs="Arial"/>
          <w:sz w:val="20"/>
          <w:szCs w:val="20"/>
          <w:lang w:val="en-GB" w:eastAsia="en-GB"/>
        </w:rPr>
        <w:t xml:space="preserve"> vein arrays, spatially and temporally associated with fine grained </w:t>
      </w:r>
      <w:proofErr w:type="spellStart"/>
      <w:r w:rsidRPr="002177B2">
        <w:rPr>
          <w:rFonts w:ascii="Arial" w:eastAsia="Times New Roman" w:hAnsi="Arial" w:cs="Arial"/>
          <w:sz w:val="20"/>
          <w:szCs w:val="20"/>
          <w:lang w:val="en-GB" w:eastAsia="en-GB"/>
        </w:rPr>
        <w:t>microtonalite</w:t>
      </w:r>
      <w:proofErr w:type="spellEnd"/>
      <w:r w:rsidRPr="002177B2">
        <w:rPr>
          <w:rFonts w:ascii="Arial" w:eastAsia="Times New Roman" w:hAnsi="Arial" w:cs="Arial"/>
          <w:sz w:val="20"/>
          <w:szCs w:val="20"/>
          <w:lang w:val="en-GB" w:eastAsia="en-GB"/>
        </w:rPr>
        <w:t xml:space="preserve"> porphyry dykes and stocks. Chalcopyrite within the M veins was introduced by the C veins after the original laminated quartz-magnetite.  Wispy magnetite fractures in sericite-chlorite-magnetite (SCM) signal lateral and vertical proximity to mineralised structures passing inwards to A-B and M style porphyry veins akin to </w:t>
      </w:r>
      <w:proofErr w:type="spellStart"/>
      <w:r w:rsidRPr="002177B2">
        <w:rPr>
          <w:rFonts w:ascii="Arial" w:eastAsia="Times New Roman" w:hAnsi="Arial" w:cs="Arial"/>
          <w:sz w:val="20"/>
          <w:szCs w:val="20"/>
          <w:lang w:val="en-GB" w:eastAsia="en-GB"/>
        </w:rPr>
        <w:t>potassic</w:t>
      </w:r>
      <w:proofErr w:type="spellEnd"/>
      <w:r w:rsidRPr="002177B2">
        <w:rPr>
          <w:rFonts w:ascii="Arial" w:eastAsia="Times New Roman" w:hAnsi="Arial" w:cs="Arial"/>
          <w:sz w:val="20"/>
          <w:szCs w:val="20"/>
          <w:lang w:val="en-GB" w:eastAsia="en-GB"/>
        </w:rPr>
        <w:t xml:space="preserve"> alteration, with some earlier or later sericite. Surface mapping shows significant lateral continuity (400-600m) of east-west trending sheeted vein sets and dykes emplaced along these structures.  Stock-like </w:t>
      </w:r>
      <w:proofErr w:type="spellStart"/>
      <w:r w:rsidRPr="002177B2">
        <w:rPr>
          <w:rFonts w:ascii="Arial" w:eastAsia="Times New Roman" w:hAnsi="Arial" w:cs="Arial"/>
          <w:sz w:val="20"/>
          <w:szCs w:val="20"/>
          <w:lang w:val="en-GB" w:eastAsia="en-GB"/>
        </w:rPr>
        <w:t>microtonalite</w:t>
      </w:r>
      <w:proofErr w:type="spellEnd"/>
      <w:r w:rsidRPr="002177B2">
        <w:rPr>
          <w:rFonts w:ascii="Arial" w:eastAsia="Times New Roman" w:hAnsi="Arial" w:cs="Arial"/>
          <w:sz w:val="20"/>
          <w:szCs w:val="20"/>
          <w:lang w:val="en-GB" w:eastAsia="en-GB"/>
        </w:rPr>
        <w:t xml:space="preserve"> and associated </w:t>
      </w:r>
      <w:proofErr w:type="spellStart"/>
      <w:r w:rsidRPr="002177B2">
        <w:rPr>
          <w:rFonts w:ascii="Arial" w:eastAsia="Times New Roman" w:hAnsi="Arial" w:cs="Arial"/>
          <w:sz w:val="20"/>
          <w:szCs w:val="20"/>
          <w:lang w:val="en-GB" w:eastAsia="en-GB"/>
        </w:rPr>
        <w:t>stockwork</w:t>
      </w:r>
      <w:proofErr w:type="spellEnd"/>
      <w:r w:rsidRPr="002177B2">
        <w:rPr>
          <w:rFonts w:ascii="Arial" w:eastAsia="Times New Roman" w:hAnsi="Arial" w:cs="Arial"/>
          <w:sz w:val="20"/>
          <w:szCs w:val="20"/>
          <w:lang w:val="en-GB" w:eastAsia="en-GB"/>
        </w:rPr>
        <w:t xml:space="preserve"> veins intruded at the intersection of the east-west and northwest trending structures display a more localised distribution (100-200m).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Potassic</w:t>
      </w:r>
      <w:proofErr w:type="spellEnd"/>
      <w:r w:rsidRPr="002177B2">
        <w:rPr>
          <w:rFonts w:ascii="Arial" w:eastAsia="Times New Roman" w:hAnsi="Arial" w:cs="Arial"/>
          <w:sz w:val="20"/>
          <w:szCs w:val="20"/>
          <w:lang w:val="en-GB" w:eastAsia="en-GB"/>
        </w:rPr>
        <w:t xml:space="preserve"> alteration is inferred from quartz-magnetite veins, secondary biotite (now altered to retrograde chlorite) vein selvages and </w:t>
      </w:r>
      <w:proofErr w:type="spellStart"/>
      <w:r w:rsidRPr="002177B2">
        <w:rPr>
          <w:rFonts w:ascii="Arial" w:eastAsia="Times New Roman" w:hAnsi="Arial" w:cs="Arial"/>
          <w:sz w:val="20"/>
          <w:szCs w:val="20"/>
          <w:lang w:val="en-GB" w:eastAsia="en-GB"/>
        </w:rPr>
        <w:t>actinolite</w:t>
      </w:r>
      <w:proofErr w:type="spellEnd"/>
      <w:r w:rsidRPr="002177B2">
        <w:rPr>
          <w:rFonts w:ascii="Arial" w:eastAsia="Times New Roman" w:hAnsi="Arial" w:cs="Arial"/>
          <w:sz w:val="20"/>
          <w:szCs w:val="20"/>
          <w:lang w:val="en-GB" w:eastAsia="en-GB"/>
        </w:rPr>
        <w:t xml:space="preserve">.  Pervasive K-feldspar was not recognised, with the exception of altered clasts within hydrothermal breccia at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Highest gold-copper grades are associated with the late C-vein event which cuts the M and B veins, a common feature of porphyry systems.  Gold-copper ratios are zoned, with 1:1 on the periphery and 2:1 and 3:1 central to structures and mineralised intrusions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_Ref414453787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14</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_Ref414368138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15</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as the </w:t>
      </w:r>
      <w:proofErr w:type="spellStart"/>
      <w:r w:rsidRPr="002177B2">
        <w:rPr>
          <w:rFonts w:ascii="Arial" w:eastAsia="Times New Roman" w:hAnsi="Arial" w:cs="Arial"/>
          <w:sz w:val="20"/>
          <w:szCs w:val="20"/>
          <w:lang w:val="en-GB" w:eastAsia="en-GB"/>
        </w:rPr>
        <w:t>bornite</w:t>
      </w:r>
      <w:proofErr w:type="spellEnd"/>
      <w:r w:rsidRPr="002177B2">
        <w:rPr>
          <w:rFonts w:ascii="Arial" w:eastAsia="Times New Roman" w:hAnsi="Arial" w:cs="Arial"/>
          <w:sz w:val="20"/>
          <w:szCs w:val="20"/>
          <w:lang w:val="en-GB" w:eastAsia="en-GB"/>
        </w:rPr>
        <w:t xml:space="preserve"> within M veins provides a preferential host for Au.  C-veins show a strong east west preferred orientation in all the recent drill holes and is discernible in the open pit consistent with the structural model proposed (Corbett and Leach, 1998) to account for most Central West mineralisation, which suggests the northwest to east-west orientation of many vein systems reflects development within dilatant sites formed by </w:t>
      </w:r>
      <w:proofErr w:type="spellStart"/>
      <w:r w:rsidRPr="002177B2">
        <w:rPr>
          <w:rFonts w:ascii="Arial" w:eastAsia="Times New Roman" w:hAnsi="Arial" w:cs="Arial"/>
          <w:sz w:val="20"/>
          <w:szCs w:val="20"/>
          <w:lang w:val="en-GB" w:eastAsia="en-GB"/>
        </w:rPr>
        <w:t>sinistral</w:t>
      </w:r>
      <w:proofErr w:type="spellEnd"/>
      <w:r w:rsidRPr="002177B2">
        <w:rPr>
          <w:rFonts w:ascii="Arial" w:eastAsia="Times New Roman" w:hAnsi="Arial" w:cs="Arial"/>
          <w:sz w:val="20"/>
          <w:szCs w:val="20"/>
          <w:lang w:val="en-GB" w:eastAsia="en-GB"/>
        </w:rPr>
        <w:t xml:space="preserve"> movement on the north-south structural fabric of the district. In this model the east-west veins will be better mineralised.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Stage </w:t>
      </w:r>
      <w:proofErr w:type="gramStart"/>
      <w:r w:rsidRPr="002177B2">
        <w:rPr>
          <w:rFonts w:ascii="Arial" w:eastAsia="Times New Roman" w:hAnsi="Arial" w:cs="Arial"/>
          <w:sz w:val="20"/>
          <w:szCs w:val="20"/>
          <w:lang w:val="en-GB" w:eastAsia="en-GB"/>
        </w:rPr>
        <w:t>3 mineralisation</w:t>
      </w:r>
      <w:proofErr w:type="gramEnd"/>
      <w:r w:rsidRPr="002177B2">
        <w:rPr>
          <w:rFonts w:ascii="Arial" w:eastAsia="Times New Roman" w:hAnsi="Arial" w:cs="Arial"/>
          <w:sz w:val="20"/>
          <w:szCs w:val="20"/>
          <w:lang w:val="en-GB" w:eastAsia="en-GB"/>
        </w:rPr>
        <w:t xml:space="preserve"> is less extensive than combined Stage 1 and Stage 2, challenging the historical view that the Copper Hill mineralised system potential has been downgraded by later barren intrusion events.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 xml:space="preserve">Stage 4- </w:t>
      </w:r>
      <w:r w:rsidRPr="002177B2">
        <w:rPr>
          <w:rFonts w:ascii="Arial" w:eastAsia="Times New Roman" w:hAnsi="Arial" w:cs="Arial"/>
          <w:sz w:val="20"/>
          <w:szCs w:val="20"/>
          <w:lang w:val="en-GB" w:eastAsia="en-GB"/>
        </w:rPr>
        <w:t xml:space="preserve">The geological evolution of the Copper Hill mineralised system was impacted by a second event of uplift and erosion telescoping carbonate-base metal gold (CBM) style veins (in the classification of Corbett and Leach, 1998) with sericite-carbonate selvages on top of all earlier mineralisation. The carbonate species (calcite, </w:t>
      </w:r>
      <w:proofErr w:type="spellStart"/>
      <w:r w:rsidRPr="002177B2">
        <w:rPr>
          <w:rFonts w:ascii="Arial" w:eastAsia="Times New Roman" w:hAnsi="Arial" w:cs="Arial"/>
          <w:sz w:val="20"/>
          <w:szCs w:val="20"/>
          <w:lang w:val="en-GB" w:eastAsia="en-GB"/>
        </w:rPr>
        <w:t>Mn</w:t>
      </w:r>
      <w:proofErr w:type="spellEnd"/>
      <w:r w:rsidRPr="002177B2">
        <w:rPr>
          <w:rFonts w:ascii="Arial" w:eastAsia="Times New Roman" w:hAnsi="Arial" w:cs="Arial"/>
          <w:sz w:val="20"/>
          <w:szCs w:val="20"/>
          <w:lang w:val="en-GB" w:eastAsia="en-GB"/>
        </w:rPr>
        <w:t xml:space="preserve">-Mg carbonate </w:t>
      </w:r>
      <w:r w:rsidRPr="002177B2">
        <w:rPr>
          <w:rFonts w:ascii="Arial" w:eastAsia="Times New Roman" w:hAnsi="Arial" w:cs="Arial"/>
          <w:sz w:val="20"/>
          <w:szCs w:val="20"/>
          <w:u w:val="single"/>
          <w:lang w:val="en-GB" w:eastAsia="en-GB"/>
        </w:rPr>
        <w:t>+</w:t>
      </w:r>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rhodochrosite</w:t>
      </w:r>
      <w:proofErr w:type="spellEnd"/>
      <w:r w:rsidRPr="002177B2">
        <w:rPr>
          <w:rFonts w:ascii="Arial" w:eastAsia="Times New Roman" w:hAnsi="Arial" w:cs="Arial"/>
          <w:sz w:val="20"/>
          <w:szCs w:val="20"/>
          <w:lang w:val="en-GB" w:eastAsia="en-GB"/>
        </w:rPr>
        <w:t xml:space="preserve">) and abundance of low temperature Fe-poor white and lesser yellow sphalerite support a distal setting for this mineralisation above the source porphyry.  The orientation of Stage 4 veins is predominantly east-northeast implying preferential dilation on existing structures caused by a small component of dextral reversal of movement on regional scale bounding structures at this stage. Transient changes in the nature of convergence to </w:t>
      </w:r>
      <w:proofErr w:type="spellStart"/>
      <w:r w:rsidRPr="002177B2">
        <w:rPr>
          <w:rFonts w:ascii="Arial" w:eastAsia="Times New Roman" w:hAnsi="Arial" w:cs="Arial"/>
          <w:sz w:val="20"/>
          <w:szCs w:val="20"/>
          <w:lang w:val="en-GB" w:eastAsia="en-GB"/>
        </w:rPr>
        <w:t>sinistral</w:t>
      </w:r>
      <w:proofErr w:type="spellEnd"/>
      <w:r w:rsidRPr="002177B2">
        <w:rPr>
          <w:rFonts w:ascii="Arial" w:eastAsia="Times New Roman" w:hAnsi="Arial" w:cs="Arial"/>
          <w:sz w:val="20"/>
          <w:szCs w:val="20"/>
          <w:lang w:val="en-GB" w:eastAsia="en-GB"/>
        </w:rPr>
        <w:t xml:space="preserve"> orthogonal on the NS structural grain may have acted as a trigger for mineralisation.</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Retrograde sericite-chlorite-carbonate alteration associated with shut-down of the hydrothermal system overprints earlier stages.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lastRenderedPageBreak/>
        <w:t>Stage 5-</w:t>
      </w:r>
      <w:r w:rsidRPr="002177B2">
        <w:rPr>
          <w:rFonts w:ascii="Arial" w:eastAsia="Times New Roman" w:hAnsi="Arial" w:cs="Arial"/>
          <w:sz w:val="20"/>
          <w:szCs w:val="20"/>
          <w:lang w:val="en-GB" w:eastAsia="en-GB"/>
        </w:rPr>
        <w:t xml:space="preserve"> Gypsum veins often in association with </w:t>
      </w:r>
      <w:proofErr w:type="spellStart"/>
      <w:r w:rsidRPr="002177B2">
        <w:rPr>
          <w:rFonts w:ascii="Arial" w:eastAsia="Times New Roman" w:hAnsi="Arial" w:cs="Arial"/>
          <w:sz w:val="20"/>
          <w:szCs w:val="20"/>
          <w:lang w:val="en-GB" w:eastAsia="en-GB"/>
        </w:rPr>
        <w:t>laumontite</w:t>
      </w:r>
      <w:proofErr w:type="spellEnd"/>
      <w:r w:rsidRPr="002177B2">
        <w:rPr>
          <w:rFonts w:ascii="Arial" w:eastAsia="Times New Roman" w:hAnsi="Arial" w:cs="Arial"/>
          <w:sz w:val="20"/>
          <w:szCs w:val="20"/>
          <w:lang w:val="en-GB" w:eastAsia="en-GB"/>
        </w:rPr>
        <w:t xml:space="preserve"> (zeolite) fracture fill are recognised throughout the prospect as late stage structurally controlled vein zones on the flanks of the intrusion-hydrothermal system. Stage 5 is </w:t>
      </w:r>
      <w:proofErr w:type="spellStart"/>
      <w:r w:rsidRPr="002177B2">
        <w:rPr>
          <w:rFonts w:ascii="Arial" w:eastAsia="Times New Roman" w:hAnsi="Arial" w:cs="Arial"/>
          <w:sz w:val="20"/>
          <w:szCs w:val="20"/>
          <w:lang w:val="en-GB" w:eastAsia="en-GB"/>
        </w:rPr>
        <w:t>unmineralised</w:t>
      </w:r>
      <w:proofErr w:type="spellEnd"/>
      <w:r w:rsidRPr="002177B2">
        <w:rPr>
          <w:rFonts w:ascii="Arial" w:eastAsia="Times New Roman" w:hAnsi="Arial" w:cs="Arial"/>
          <w:sz w:val="20"/>
          <w:szCs w:val="20"/>
          <w:lang w:val="en-GB" w:eastAsia="en-GB"/>
        </w:rPr>
        <w:t xml:space="preserve"> and interpreted as the near neutral shut-down of the hydrothermal system where available sulphur is preferentially precipitated as sulphate minerals.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i/>
          <w:sz w:val="20"/>
          <w:szCs w:val="20"/>
          <w:lang w:val="en-GB" w:eastAsia="en-GB"/>
        </w:rPr>
        <w:t>Stage 6-</w:t>
      </w:r>
      <w:r w:rsidRPr="002177B2">
        <w:rPr>
          <w:rFonts w:ascii="Arial" w:eastAsia="Times New Roman" w:hAnsi="Arial" w:cs="Arial"/>
          <w:sz w:val="20"/>
          <w:szCs w:val="20"/>
          <w:lang w:val="en-GB" w:eastAsia="en-GB"/>
        </w:rPr>
        <w:t xml:space="preserve"> The upper portions of the Copper Hill system have undergone strong weathering and leaching to a depth of approximately 30-70m below surface.  Pervasive sericite-chlorite-carbonate-pyrite alteration weathers to produce acid ground waters that leach and strip the rock mass of copper-gold mineralisation, redepositing it in a contiguous sub-horizontal zone at the base of oxidation, commonly termed the chalcocite blanket in other porphyry systems.  The leached cap is generally barren of copper mineralisation except for the open pit area.</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Pr>
          <w:rFonts w:ascii="Arial" w:eastAsia="Times New Roman" w:hAnsi="Arial" w:cs="Arial"/>
          <w:noProof/>
          <w:color w:val="0070C0"/>
          <w:sz w:val="20"/>
          <w:szCs w:val="20"/>
          <w:lang w:eastAsia="en-AU"/>
        </w:rPr>
        <w:drawing>
          <wp:inline distT="0" distB="0" distL="0" distR="0">
            <wp:extent cx="5724525" cy="3933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3933825"/>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7" w:name="_Ref414368176"/>
      <w:bookmarkStart w:id="8" w:name="_Toc425407239"/>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11</w:t>
      </w:r>
      <w:r w:rsidRPr="002177B2">
        <w:rPr>
          <w:rFonts w:ascii="Arial" w:eastAsia="SimSun" w:hAnsi="Arial" w:cs="Times New Roman"/>
          <w:b/>
          <w:bCs/>
          <w:i/>
          <w:iCs/>
          <w:noProof/>
          <w:sz w:val="18"/>
          <w:lang w:val="en-GB" w:eastAsia="en-GB"/>
        </w:rPr>
        <w:fldChar w:fldCharType="end"/>
      </w:r>
      <w:bookmarkEnd w:id="7"/>
      <w:r w:rsidRPr="002177B2">
        <w:rPr>
          <w:rFonts w:ascii="Arial" w:eastAsia="SimSun" w:hAnsi="Arial" w:cs="Times New Roman"/>
          <w:b/>
          <w:bCs/>
          <w:i/>
          <w:iCs/>
          <w:sz w:val="18"/>
          <w:lang w:val="en-GB" w:eastAsia="en-GB"/>
        </w:rPr>
        <w:t>.</w:t>
      </w:r>
      <w:proofErr w:type="gramEnd"/>
      <w:r w:rsidRPr="002177B2">
        <w:rPr>
          <w:rFonts w:ascii="Arial" w:eastAsia="SimSun" w:hAnsi="Arial" w:cs="Times New Roman"/>
          <w:bCs/>
          <w:i/>
          <w:iCs/>
          <w:sz w:val="18"/>
          <w:lang w:val="en-GB" w:eastAsia="en-GB"/>
        </w:rPr>
        <w:t xml:space="preserve">  Mineralised systems in the porphyry and epithermal environment (Corbett 2014)</w:t>
      </w:r>
      <w:bookmarkEnd w:id="8"/>
      <w:r w:rsidRPr="002177B2">
        <w:rPr>
          <w:rFonts w:ascii="Arial" w:eastAsia="SimSun" w:hAnsi="Arial" w:cs="Times New Roman"/>
          <w:bCs/>
          <w:i/>
          <w:iCs/>
          <w:sz w:val="18"/>
          <w:lang w:val="en-GB" w:eastAsia="en-GB"/>
        </w:rPr>
        <w:t xml:space="preserve"> and interpreted key stages in the evolution of the Copper Hill mineralised system.</w:t>
      </w:r>
    </w:p>
    <w:p w:rsidR="002177B2" w:rsidRPr="002177B2" w:rsidRDefault="002177B2" w:rsidP="002177B2">
      <w:pPr>
        <w:spacing w:after="160" w:line="252" w:lineRule="auto"/>
        <w:jc w:val="both"/>
        <w:rPr>
          <w:rFonts w:ascii="Arial" w:eastAsia="Times New Roman" w:hAnsi="Arial" w:cs="Times New Roman"/>
          <w:sz w:val="20"/>
          <w:lang w:val="en-GB" w:eastAsia="en-GB"/>
        </w:rPr>
      </w:pP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Structure</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Porphyry systems develop within convergent subduction related tectonic regimes in both continental and island arc settings. Deep seated arc parallel and regional scale arc-normal transfer structures are key to providing a framework for the plumbing and emplacement of magma bodies at with changes in the nature of convergence which act as triggers to emplacement of intrusions at higher levels and formation of porphyry and porphyry related mineralised systems (Corbett and Leach, 1998).  CHIC has developed at the intersection of major north-south trending arc parallel structures on the western margin of the </w:t>
      </w:r>
      <w:proofErr w:type="spellStart"/>
      <w:r w:rsidRPr="002177B2">
        <w:rPr>
          <w:rFonts w:ascii="Arial" w:eastAsia="Times New Roman" w:hAnsi="Arial" w:cs="Arial"/>
          <w:sz w:val="20"/>
          <w:szCs w:val="20"/>
          <w:lang w:val="en-GB" w:eastAsia="en-GB"/>
        </w:rPr>
        <w:t>Molong</w:t>
      </w:r>
      <w:proofErr w:type="spellEnd"/>
      <w:r w:rsidRPr="002177B2">
        <w:rPr>
          <w:rFonts w:ascii="Arial" w:eastAsia="Times New Roman" w:hAnsi="Arial" w:cs="Arial"/>
          <w:sz w:val="20"/>
          <w:szCs w:val="20"/>
          <w:lang w:val="en-GB" w:eastAsia="en-GB"/>
        </w:rPr>
        <w:t xml:space="preserve"> Ordovician belt, and regional northwest trending transfer structures. A component of </w:t>
      </w:r>
      <w:proofErr w:type="spellStart"/>
      <w:r w:rsidRPr="002177B2">
        <w:rPr>
          <w:rFonts w:ascii="Arial" w:eastAsia="Times New Roman" w:hAnsi="Arial" w:cs="Arial"/>
          <w:sz w:val="20"/>
          <w:szCs w:val="20"/>
          <w:lang w:val="en-GB" w:eastAsia="en-GB"/>
        </w:rPr>
        <w:t>sinistral</w:t>
      </w:r>
      <w:proofErr w:type="spellEnd"/>
      <w:r w:rsidRPr="002177B2">
        <w:rPr>
          <w:rFonts w:ascii="Arial" w:eastAsia="Times New Roman" w:hAnsi="Arial" w:cs="Arial"/>
          <w:sz w:val="20"/>
          <w:szCs w:val="20"/>
          <w:lang w:val="en-GB" w:eastAsia="en-GB"/>
        </w:rPr>
        <w:t xml:space="preserve"> strike slip movement on the arc parallel structures provided dilation on the existing northwest transfer structures for emplacement of the diorite and </w:t>
      </w:r>
      <w:proofErr w:type="spellStart"/>
      <w:r w:rsidRPr="002177B2">
        <w:rPr>
          <w:rFonts w:ascii="Arial" w:eastAsia="Times New Roman" w:hAnsi="Arial" w:cs="Arial"/>
          <w:sz w:val="20"/>
          <w:szCs w:val="20"/>
          <w:lang w:val="en-GB" w:eastAsia="en-GB"/>
        </w:rPr>
        <w:t>tonalite</w:t>
      </w:r>
      <w:proofErr w:type="spellEnd"/>
      <w:r w:rsidRPr="002177B2">
        <w:rPr>
          <w:rFonts w:ascii="Arial" w:eastAsia="Times New Roman" w:hAnsi="Arial" w:cs="Arial"/>
          <w:sz w:val="20"/>
          <w:szCs w:val="20"/>
          <w:lang w:val="en-GB" w:eastAsia="en-GB"/>
        </w:rPr>
        <w:t xml:space="preserve"> porphyry intrusions (Corbett 2013a, b).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structural regime active at the time of intrusion of the CHIC was characterised by regular changes the principal stress regime to promote </w:t>
      </w:r>
      <w:proofErr w:type="spellStart"/>
      <w:r w:rsidRPr="002177B2">
        <w:rPr>
          <w:rFonts w:ascii="Arial" w:eastAsia="Times New Roman" w:hAnsi="Arial" w:cs="Arial"/>
          <w:sz w:val="20"/>
          <w:szCs w:val="20"/>
          <w:lang w:val="en-GB" w:eastAsia="en-GB"/>
        </w:rPr>
        <w:t>sinistral</w:t>
      </w:r>
      <w:proofErr w:type="spellEnd"/>
      <w:r w:rsidRPr="002177B2">
        <w:rPr>
          <w:rFonts w:ascii="Arial" w:eastAsia="Times New Roman" w:hAnsi="Arial" w:cs="Arial"/>
          <w:sz w:val="20"/>
          <w:szCs w:val="20"/>
          <w:lang w:val="en-GB" w:eastAsia="en-GB"/>
        </w:rPr>
        <w:t xml:space="preserve"> strike-slip movement on the north-south structures and </w:t>
      </w:r>
      <w:r w:rsidRPr="002177B2">
        <w:rPr>
          <w:rFonts w:ascii="Arial" w:eastAsia="Times New Roman" w:hAnsi="Arial" w:cs="Arial"/>
          <w:sz w:val="20"/>
          <w:szCs w:val="20"/>
          <w:lang w:val="en-GB" w:eastAsia="en-GB"/>
        </w:rPr>
        <w:lastRenderedPageBreak/>
        <w:t>dilation on pre-existing northwest to east-west structures throughout the deposit evolution. Primary stress regime is inferred to have been predominantly horizontal in order to generate steep dipping intrusion geometry, mineralised sheeted vein arrays and structures. The shallow (10-15</w:t>
      </w:r>
      <w:r w:rsidRPr="002177B2">
        <w:rPr>
          <w:rFonts w:ascii="Arial" w:eastAsia="Times New Roman" w:hAnsi="Arial" w:cs="Arial"/>
          <w:sz w:val="20"/>
          <w:szCs w:val="20"/>
          <w:vertAlign w:val="superscript"/>
          <w:lang w:val="en-GB" w:eastAsia="en-GB"/>
        </w:rPr>
        <w:t>0</w:t>
      </w:r>
      <w:r w:rsidRPr="002177B2">
        <w:rPr>
          <w:rFonts w:ascii="Arial" w:eastAsia="Times New Roman" w:hAnsi="Arial" w:cs="Arial"/>
          <w:sz w:val="20"/>
          <w:szCs w:val="20"/>
          <w:lang w:val="en-GB" w:eastAsia="en-GB"/>
        </w:rPr>
        <w:t xml:space="preserve">) westerly dip of layering within the </w:t>
      </w:r>
      <w:proofErr w:type="spellStart"/>
      <w:r w:rsidRPr="002177B2">
        <w:rPr>
          <w:rFonts w:ascii="Arial" w:eastAsia="Times New Roman" w:hAnsi="Arial" w:cs="Arial"/>
          <w:sz w:val="20"/>
          <w:szCs w:val="20"/>
          <w:lang w:val="en-GB" w:eastAsia="en-GB"/>
        </w:rPr>
        <w:t>Fairbridge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Volcanics</w:t>
      </w:r>
      <w:proofErr w:type="spellEnd"/>
      <w:r w:rsidRPr="002177B2">
        <w:rPr>
          <w:rFonts w:ascii="Arial" w:eastAsia="Times New Roman" w:hAnsi="Arial" w:cs="Arial"/>
          <w:sz w:val="20"/>
          <w:szCs w:val="20"/>
          <w:lang w:val="en-GB" w:eastAsia="en-GB"/>
        </w:rPr>
        <w:t xml:space="preserve"> at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suggests there has been only minimal tilting of the local stratigraphy.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Geological and structural mapping has been carried out by tenement holders over the life of the Copper Hill project.  Work completed by </w:t>
      </w:r>
      <w:proofErr w:type="spellStart"/>
      <w:r w:rsidRPr="002177B2">
        <w:rPr>
          <w:rFonts w:ascii="Arial" w:eastAsia="Times New Roman" w:hAnsi="Arial" w:cs="Arial"/>
          <w:sz w:val="20"/>
          <w:szCs w:val="20"/>
          <w:lang w:val="en-GB" w:eastAsia="en-GB"/>
        </w:rPr>
        <w:t>Chivas</w:t>
      </w:r>
      <w:proofErr w:type="spellEnd"/>
      <w:r w:rsidRPr="002177B2">
        <w:rPr>
          <w:rFonts w:ascii="Arial" w:eastAsia="Times New Roman" w:hAnsi="Arial" w:cs="Arial"/>
          <w:sz w:val="20"/>
          <w:szCs w:val="20"/>
          <w:lang w:val="en-GB" w:eastAsia="en-GB"/>
        </w:rPr>
        <w:t xml:space="preserve"> in 1971, and reproduced and enhanced throughout the project history is the most widely used surface solid geology map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_Ref426473077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9</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  A recent review of the surface geological interpretation showed a move away from structures that align with the </w:t>
      </w:r>
      <w:proofErr w:type="spellStart"/>
      <w:r w:rsidRPr="002177B2">
        <w:rPr>
          <w:rFonts w:ascii="Arial" w:eastAsia="Times New Roman" w:hAnsi="Arial" w:cs="Arial"/>
          <w:sz w:val="20"/>
          <w:szCs w:val="20"/>
          <w:lang w:val="en-GB" w:eastAsia="en-GB"/>
        </w:rPr>
        <w:t>Chivas</w:t>
      </w:r>
      <w:proofErr w:type="spellEnd"/>
      <w:r w:rsidRPr="002177B2">
        <w:rPr>
          <w:rFonts w:ascii="Arial" w:eastAsia="Times New Roman" w:hAnsi="Arial" w:cs="Arial"/>
          <w:sz w:val="20"/>
          <w:szCs w:val="20"/>
          <w:lang w:val="en-GB" w:eastAsia="en-GB"/>
        </w:rPr>
        <w:t xml:space="preserve"> (1971)/Cyprus (1990) map and created uncertainty in relation to the actual structure architecture to be used as a foundation for 3D geological and development of the resource model.</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drawing>
          <wp:inline distT="0" distB="0" distL="0" distR="0">
            <wp:extent cx="5734050" cy="38385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9" w:name="_Ref414368183"/>
      <w:bookmarkStart w:id="10" w:name="_Toc425407240"/>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12</w:t>
      </w:r>
      <w:r w:rsidRPr="002177B2">
        <w:rPr>
          <w:rFonts w:ascii="Arial" w:eastAsia="SimSun" w:hAnsi="Arial" w:cs="Times New Roman"/>
          <w:b/>
          <w:bCs/>
          <w:i/>
          <w:iCs/>
          <w:noProof/>
          <w:sz w:val="18"/>
          <w:lang w:val="en-GB" w:eastAsia="en-GB"/>
        </w:rPr>
        <w:fldChar w:fldCharType="end"/>
      </w:r>
      <w:bookmarkEnd w:id="9"/>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Staged porphyry Cu-Au evolution (Corbett 2013) and interpreted key stages in the evolution of the Copper Hill mineralised system.</w:t>
      </w:r>
      <w:bookmarkEnd w:id="10"/>
    </w:p>
    <w:p w:rsidR="002177B2" w:rsidRPr="002177B2" w:rsidRDefault="002177B2" w:rsidP="002177B2">
      <w:pPr>
        <w:spacing w:after="160" w:line="252" w:lineRule="auto"/>
        <w:jc w:val="both"/>
        <w:rPr>
          <w:rFonts w:ascii="Arial" w:eastAsia="Times New Roman" w:hAnsi="Arial" w:cs="Times New Roman"/>
          <w:sz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br w:type="page"/>
      </w:r>
      <w:r w:rsidRPr="002177B2">
        <w:rPr>
          <w:rFonts w:ascii="Arial" w:eastAsia="Times New Roman" w:hAnsi="Arial" w:cs="Arial"/>
          <w:sz w:val="20"/>
          <w:szCs w:val="20"/>
          <w:lang w:val="en-GB" w:eastAsia="en-GB"/>
        </w:rPr>
        <w:lastRenderedPageBreak/>
        <w:t xml:space="preserve">Reconnaissance mapping of structures in outcrop was carried out as part of the 2014 drill program to evaluate the validity of recent versus historical surface structure models.  A baseline survey in the open pit area using standard tape and </w:t>
      </w:r>
      <w:proofErr w:type="spellStart"/>
      <w:r w:rsidRPr="002177B2">
        <w:rPr>
          <w:rFonts w:ascii="Arial" w:eastAsia="Times New Roman" w:hAnsi="Arial" w:cs="Arial"/>
          <w:sz w:val="20"/>
          <w:szCs w:val="20"/>
          <w:lang w:val="en-GB" w:eastAsia="en-GB"/>
        </w:rPr>
        <w:t>Brunton</w:t>
      </w:r>
      <w:proofErr w:type="spellEnd"/>
      <w:r w:rsidRPr="002177B2">
        <w:rPr>
          <w:rFonts w:ascii="Arial" w:eastAsia="Times New Roman" w:hAnsi="Arial" w:cs="Arial"/>
          <w:sz w:val="20"/>
          <w:szCs w:val="20"/>
          <w:lang w:val="en-GB" w:eastAsia="en-GB"/>
        </w:rPr>
        <w:t xml:space="preserve"> compass survey when compared against smartphone application </w:t>
      </w:r>
      <w:proofErr w:type="spellStart"/>
      <w:r w:rsidRPr="002177B2">
        <w:rPr>
          <w:rFonts w:ascii="Arial" w:eastAsia="Times New Roman" w:hAnsi="Arial" w:cs="Arial"/>
          <w:sz w:val="20"/>
          <w:szCs w:val="20"/>
          <w:lang w:val="en-GB" w:eastAsia="en-GB"/>
        </w:rPr>
        <w:t>Fieldmove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Clino</w:t>
      </w:r>
      <w:proofErr w:type="spellEnd"/>
      <w:r w:rsidRPr="002177B2">
        <w:rPr>
          <w:rFonts w:ascii="Arial" w:eastAsia="Times New Roman" w:hAnsi="Arial" w:cs="Arial"/>
          <w:sz w:val="20"/>
          <w:szCs w:val="20"/>
          <w:lang w:val="en-GB" w:eastAsia="en-GB"/>
        </w:rPr>
        <w:t xml:space="preserve">® measurements of structures were within several degrees of each other and well within the limits of operator variability. When plotted in GIS, </w:t>
      </w:r>
      <w:proofErr w:type="spellStart"/>
      <w:r w:rsidRPr="002177B2">
        <w:rPr>
          <w:rFonts w:ascii="Arial" w:eastAsia="Times New Roman" w:hAnsi="Arial" w:cs="Arial"/>
          <w:sz w:val="20"/>
          <w:szCs w:val="20"/>
          <w:lang w:val="en-GB" w:eastAsia="en-GB"/>
        </w:rPr>
        <w:t>Fieldmove</w:t>
      </w:r>
      <w:proofErr w:type="spellEnd"/>
      <w:r w:rsidRPr="002177B2">
        <w:rPr>
          <w:rFonts w:ascii="Arial" w:eastAsia="Times New Roman" w:hAnsi="Arial" w:cs="Arial"/>
          <w:sz w:val="20"/>
          <w:szCs w:val="20"/>
          <w:lang w:val="en-GB" w:eastAsia="en-GB"/>
        </w:rPr>
        <w:t xml:space="preserve"> </w:t>
      </w:r>
      <w:proofErr w:type="spellStart"/>
      <w:r w:rsidRPr="002177B2">
        <w:rPr>
          <w:rFonts w:ascii="Arial" w:eastAsia="Times New Roman" w:hAnsi="Arial" w:cs="Arial"/>
          <w:sz w:val="20"/>
          <w:szCs w:val="20"/>
          <w:lang w:val="en-GB" w:eastAsia="en-GB"/>
        </w:rPr>
        <w:t>Clino</w:t>
      </w:r>
      <w:proofErr w:type="spellEnd"/>
      <w:r w:rsidRPr="002177B2">
        <w:rPr>
          <w:rFonts w:ascii="Arial" w:eastAsia="Times New Roman" w:hAnsi="Arial" w:cs="Arial"/>
          <w:sz w:val="20"/>
          <w:szCs w:val="20"/>
          <w:lang w:val="en-GB" w:eastAsia="en-GB"/>
        </w:rPr>
        <w:t xml:space="preserve">® measured structures are located close to the on-ground position displayed by the </w:t>
      </w:r>
      <w:proofErr w:type="spellStart"/>
      <w:r w:rsidRPr="002177B2">
        <w:rPr>
          <w:rFonts w:ascii="Arial" w:eastAsia="Times New Roman" w:hAnsi="Arial" w:cs="Arial"/>
          <w:sz w:val="20"/>
          <w:szCs w:val="20"/>
          <w:lang w:val="en-GB" w:eastAsia="en-GB"/>
        </w:rPr>
        <w:t>orthorectified</w:t>
      </w:r>
      <w:proofErr w:type="spellEnd"/>
      <w:r w:rsidRPr="002177B2">
        <w:rPr>
          <w:rFonts w:ascii="Arial" w:eastAsia="Times New Roman" w:hAnsi="Arial" w:cs="Arial"/>
          <w:sz w:val="20"/>
          <w:szCs w:val="20"/>
          <w:lang w:val="en-GB" w:eastAsia="en-GB"/>
        </w:rPr>
        <w:t xml:space="preserve"> aerial photography image.</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Combined surface mapping and 10,764 oriented drill core measurements reinforces the dominant east-west, northwest, and north-south structural architecture mapped at surface.  Mineralised vein orientations describe a </w:t>
      </w:r>
      <w:proofErr w:type="spellStart"/>
      <w:r w:rsidRPr="002177B2">
        <w:rPr>
          <w:rFonts w:ascii="Arial" w:eastAsia="Times New Roman" w:hAnsi="Arial" w:cs="Arial"/>
          <w:sz w:val="20"/>
          <w:szCs w:val="20"/>
          <w:lang w:val="en-GB" w:eastAsia="en-GB"/>
        </w:rPr>
        <w:t>stockwork</w:t>
      </w:r>
      <w:proofErr w:type="spellEnd"/>
      <w:r w:rsidRPr="002177B2">
        <w:rPr>
          <w:rFonts w:ascii="Arial" w:eastAsia="Times New Roman" w:hAnsi="Arial" w:cs="Arial"/>
          <w:sz w:val="20"/>
          <w:szCs w:val="20"/>
          <w:lang w:val="en-GB" w:eastAsia="en-GB"/>
        </w:rPr>
        <w:t xml:space="preserve"> with a dominant sheeted vein orientation that is not uncommon in porphyry systems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_Ref414367129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17</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Steep (67</w:t>
      </w:r>
      <w:r w:rsidRPr="002177B2">
        <w:rPr>
          <w:rFonts w:ascii="Arial" w:eastAsia="Times New Roman" w:hAnsi="Arial" w:cs="Arial"/>
          <w:sz w:val="20"/>
          <w:szCs w:val="20"/>
          <w:vertAlign w:val="superscript"/>
          <w:lang w:val="en-GB" w:eastAsia="en-GB"/>
        </w:rPr>
        <w:t>0</w:t>
      </w:r>
      <w:r w:rsidRPr="002177B2">
        <w:rPr>
          <w:rFonts w:ascii="Arial" w:eastAsia="Times New Roman" w:hAnsi="Arial" w:cs="Arial"/>
          <w:sz w:val="20"/>
          <w:szCs w:val="20"/>
          <w:lang w:val="en-GB" w:eastAsia="en-GB"/>
        </w:rPr>
        <w:t xml:space="preserve"> – 70</w:t>
      </w:r>
      <w:r w:rsidRPr="002177B2">
        <w:rPr>
          <w:rFonts w:ascii="Arial" w:eastAsia="Times New Roman" w:hAnsi="Arial" w:cs="Arial"/>
          <w:sz w:val="20"/>
          <w:szCs w:val="20"/>
          <w:vertAlign w:val="superscript"/>
          <w:lang w:val="en-GB" w:eastAsia="en-GB"/>
        </w:rPr>
        <w:t>0</w:t>
      </w:r>
      <w:r w:rsidRPr="002177B2">
        <w:rPr>
          <w:rFonts w:ascii="Arial" w:eastAsia="Times New Roman" w:hAnsi="Arial" w:cs="Arial"/>
          <w:sz w:val="20"/>
          <w:szCs w:val="20"/>
          <w:lang w:val="en-GB" w:eastAsia="en-GB"/>
        </w:rPr>
        <w:t>) north dipping, east-west trending Stage 3 mineralised structures are dominant and subordinate northwest Stage 1 and Stage 2 structures.  Subsets of data by easting, northing, level, and by prospect reflect this pattern with slight changes in dominant strike and stress regime at that time.</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Post-mineralisation fault activity is inferred to have taken place in association with uplift and erosion and telescoping successive stages of alteration and mineralisation. Two major late-stage structural trends are interpreted.  When viewed in long section a major east-west trending ‘break’ is inferred between Copper Hill and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with &gt;500m north-block-down movement juxtaposing deep level porphyry mineralisation against higher level porphyry system indicators at </w:t>
      </w:r>
      <w:proofErr w:type="spellStart"/>
      <w:r w:rsidRPr="002177B2">
        <w:rPr>
          <w:rFonts w:ascii="Arial" w:eastAsia="Times New Roman" w:hAnsi="Arial" w:cs="Arial"/>
          <w:sz w:val="20"/>
          <w:szCs w:val="20"/>
          <w:lang w:val="en-GB" w:eastAsia="en-GB"/>
        </w:rPr>
        <w:t>Buckleys</w:t>
      </w:r>
      <w:proofErr w:type="spellEnd"/>
      <w:r w:rsidRPr="002177B2">
        <w:rPr>
          <w:rFonts w:ascii="Arial" w:eastAsia="Times New Roman" w:hAnsi="Arial" w:cs="Arial"/>
          <w:sz w:val="20"/>
          <w:szCs w:val="20"/>
          <w:lang w:val="en-GB" w:eastAsia="en-GB"/>
        </w:rPr>
        <w:t xml:space="preserve"> Hill.  A ductile fault system interpreted along the western margin of Copper Hill is characterised by zones of intense shearing which passes laterally into zones of gypsum and/or </w:t>
      </w:r>
      <w:proofErr w:type="spellStart"/>
      <w:r w:rsidRPr="002177B2">
        <w:rPr>
          <w:rFonts w:ascii="Arial" w:eastAsia="Times New Roman" w:hAnsi="Arial" w:cs="Arial"/>
          <w:sz w:val="20"/>
          <w:szCs w:val="20"/>
          <w:lang w:val="en-GB" w:eastAsia="en-GB"/>
        </w:rPr>
        <w:t>laumontite</w:t>
      </w:r>
      <w:proofErr w:type="spellEnd"/>
      <w:r w:rsidRPr="002177B2">
        <w:rPr>
          <w:rFonts w:ascii="Arial" w:eastAsia="Times New Roman" w:hAnsi="Arial" w:cs="Arial"/>
          <w:sz w:val="20"/>
          <w:szCs w:val="20"/>
          <w:lang w:val="en-GB" w:eastAsia="en-GB"/>
        </w:rPr>
        <w:t xml:space="preserve"> fracture/vein development as late reactivation and sealing of the structures.</w:t>
      </w: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3D Geological Model</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previous geological model combined sectional 2D interpretations to create a 3D model for target generation and mineral resource estimation.  The low intersection angles between mineralised sheeted veins and intrusions, and the drill sections made interpretation difficult.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geology model and </w:t>
      </w:r>
      <w:proofErr w:type="spellStart"/>
      <w:r w:rsidRPr="002177B2">
        <w:rPr>
          <w:rFonts w:ascii="Arial" w:eastAsia="Times New Roman" w:hAnsi="Arial" w:cs="Arial"/>
          <w:sz w:val="20"/>
          <w:szCs w:val="20"/>
          <w:lang w:val="en-GB" w:eastAsia="en-GB"/>
        </w:rPr>
        <w:t>paragenetic</w:t>
      </w:r>
      <w:proofErr w:type="spellEnd"/>
      <w:r w:rsidRPr="002177B2">
        <w:rPr>
          <w:rFonts w:ascii="Arial" w:eastAsia="Times New Roman" w:hAnsi="Arial" w:cs="Arial"/>
          <w:sz w:val="20"/>
          <w:szCs w:val="20"/>
          <w:lang w:val="en-GB" w:eastAsia="en-GB"/>
        </w:rPr>
        <w:t xml:space="preserve"> sequence derived from traditional approaches has four fundamentals that: </w:t>
      </w:r>
    </w:p>
    <w:p w:rsidR="002177B2" w:rsidRPr="002177B2" w:rsidRDefault="002177B2" w:rsidP="002177B2">
      <w:pPr>
        <w:numPr>
          <w:ilvl w:val="0"/>
          <w:numId w:val="2"/>
        </w:numPr>
        <w:spacing w:after="160" w:line="259" w:lineRule="auto"/>
        <w:contextualSpacing/>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copper and copper-gold mineralisation </w:t>
      </w:r>
      <w:proofErr w:type="spellStart"/>
      <w:r w:rsidRPr="002177B2">
        <w:rPr>
          <w:rFonts w:ascii="Arial" w:eastAsia="Times New Roman" w:hAnsi="Arial" w:cs="Arial"/>
          <w:sz w:val="20"/>
          <w:szCs w:val="20"/>
          <w:lang w:val="en-GB" w:eastAsia="en-GB"/>
        </w:rPr>
        <w:t>paragenesis</w:t>
      </w:r>
      <w:proofErr w:type="spellEnd"/>
      <w:r w:rsidRPr="002177B2">
        <w:rPr>
          <w:rFonts w:ascii="Arial" w:eastAsia="Times New Roman" w:hAnsi="Arial" w:cs="Arial"/>
          <w:sz w:val="20"/>
          <w:szCs w:val="20"/>
          <w:lang w:val="en-GB" w:eastAsia="en-GB"/>
        </w:rPr>
        <w:t xml:space="preserve">, and structural and mineralogical controls have been determined and are robust; </w:t>
      </w:r>
    </w:p>
    <w:p w:rsidR="002177B2" w:rsidRPr="002177B2" w:rsidRDefault="002177B2" w:rsidP="002177B2">
      <w:pPr>
        <w:numPr>
          <w:ilvl w:val="0"/>
          <w:numId w:val="2"/>
        </w:numPr>
        <w:spacing w:after="160" w:line="259" w:lineRule="auto"/>
        <w:contextualSpacing/>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early Stage 1 lower grade mineralisation lies predominantly in the moderately dilatant northwest trending structures; </w:t>
      </w:r>
    </w:p>
    <w:p w:rsidR="002177B2" w:rsidRPr="002177B2" w:rsidRDefault="002177B2" w:rsidP="002177B2">
      <w:pPr>
        <w:numPr>
          <w:ilvl w:val="0"/>
          <w:numId w:val="2"/>
        </w:numPr>
        <w:spacing w:after="160" w:line="259" w:lineRule="auto"/>
        <w:contextualSpacing/>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high-grade Stage 3 mineralisation is controlled by the more dilatant predominantly east-west trending structures; </w:t>
      </w:r>
    </w:p>
    <w:p w:rsidR="002177B2" w:rsidRPr="002177B2" w:rsidRDefault="002177B2" w:rsidP="002177B2">
      <w:pPr>
        <w:numPr>
          <w:ilvl w:val="0"/>
          <w:numId w:val="2"/>
        </w:numPr>
        <w:spacing w:after="160" w:line="259" w:lineRule="auto"/>
        <w:contextualSpacing/>
        <w:jc w:val="both"/>
        <w:rPr>
          <w:rFonts w:ascii="Arial" w:eastAsia="Times New Roman" w:hAnsi="Arial" w:cs="Arial"/>
          <w:sz w:val="20"/>
          <w:szCs w:val="20"/>
          <w:lang w:val="en-GB" w:eastAsia="en-GB"/>
        </w:rPr>
      </w:pPr>
      <w:proofErr w:type="gramStart"/>
      <w:r w:rsidRPr="002177B2">
        <w:rPr>
          <w:rFonts w:ascii="Arial" w:eastAsia="Times New Roman" w:hAnsi="Arial" w:cs="Arial"/>
          <w:sz w:val="20"/>
          <w:szCs w:val="20"/>
          <w:lang w:val="en-GB" w:eastAsia="en-GB"/>
        </w:rPr>
        <w:t>there</w:t>
      </w:r>
      <w:proofErr w:type="gramEnd"/>
      <w:r w:rsidRPr="002177B2">
        <w:rPr>
          <w:rFonts w:ascii="Arial" w:eastAsia="Times New Roman" w:hAnsi="Arial" w:cs="Arial"/>
          <w:sz w:val="20"/>
          <w:szCs w:val="20"/>
          <w:lang w:val="en-GB" w:eastAsia="en-GB"/>
        </w:rPr>
        <w:t xml:space="preserve"> is supergene Cu and probably Au enrichment in the oxidised upper portions to form sub-horizontal higher grade zones.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Therefore the primary underlying assumption for 3D computer based geology model is that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at specific copper cut-off grades reflect the low and high grade mineralisation stages (0.1% Cu, 0.3% Cu, 0.6% Cu), when conditioned by 3D surfaces for structures and key geological features will reasonably reflect the three dimensional nature of the deposit.</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geology model for the 2014 drilling program utilised a combination of sectional 2D interpretation and implicit modelling of isotropic (spherical) and anisotropic 3D grade shell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at multiple copper cut-off grades in the Leapfrog® Radial Basis Function (RBF) process.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Isotropic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with equidistant spherical search parameters and no structural conditioning highlights the underlying regional northwest orientation of the low grade system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_Ref414372469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18</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a).</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3D surfaces of major structures and sheeted vein trends condition the anisotropic RBF calculations resulting in retention of the regional northwest trend at low grades, and strong regional east-west trend of higher grades (&gt;0.3% Cu) (</w:t>
      </w:r>
      <w:r w:rsidRPr="002177B2">
        <w:rPr>
          <w:rFonts w:ascii="Arial" w:eastAsia="Times New Roman" w:hAnsi="Arial" w:cs="Arial"/>
          <w:sz w:val="20"/>
          <w:szCs w:val="20"/>
          <w:lang w:val="en-GB" w:eastAsia="en-GB"/>
        </w:rPr>
        <w:fldChar w:fldCharType="begin"/>
      </w:r>
      <w:r w:rsidRPr="002177B2">
        <w:rPr>
          <w:rFonts w:ascii="Arial" w:eastAsia="Times New Roman" w:hAnsi="Arial" w:cs="Arial"/>
          <w:sz w:val="20"/>
          <w:szCs w:val="20"/>
          <w:lang w:val="en-GB" w:eastAsia="en-GB"/>
        </w:rPr>
        <w:instrText xml:space="preserve"> REF _Ref414372469 \h </w:instrText>
      </w:r>
      <w:r w:rsidRPr="002177B2">
        <w:rPr>
          <w:rFonts w:ascii="Arial" w:eastAsia="Times New Roman" w:hAnsi="Arial" w:cs="Arial"/>
          <w:sz w:val="20"/>
          <w:szCs w:val="20"/>
          <w:lang w:val="en-GB" w:eastAsia="en-GB"/>
        </w:rPr>
      </w:r>
      <w:r w:rsidRPr="002177B2">
        <w:rPr>
          <w:rFonts w:ascii="Arial" w:eastAsia="Times New Roman" w:hAnsi="Arial" w:cs="Arial"/>
          <w:sz w:val="20"/>
          <w:szCs w:val="20"/>
          <w:lang w:val="en-GB" w:eastAsia="en-GB"/>
        </w:rPr>
        <w:instrText xml:space="preserve"> \* MERGEFORMAT </w:instrText>
      </w:r>
      <w:r w:rsidRPr="002177B2">
        <w:rPr>
          <w:rFonts w:ascii="Arial" w:eastAsia="Times New Roman" w:hAnsi="Arial" w:cs="Arial"/>
          <w:sz w:val="20"/>
          <w:szCs w:val="20"/>
          <w:lang w:val="en-GB" w:eastAsia="en-GB"/>
        </w:rPr>
        <w:fldChar w:fldCharType="separate"/>
      </w:r>
      <w:r w:rsidRPr="002177B2">
        <w:rPr>
          <w:rFonts w:ascii="Arial" w:eastAsia="Times New Roman" w:hAnsi="Arial" w:cs="Arial"/>
          <w:sz w:val="20"/>
          <w:szCs w:val="20"/>
          <w:lang w:val="en-GB" w:eastAsia="en-GB"/>
        </w:rPr>
        <w:t xml:space="preserve">Figure </w:t>
      </w:r>
      <w:r w:rsidRPr="002177B2">
        <w:rPr>
          <w:rFonts w:ascii="Arial" w:eastAsia="Times New Roman" w:hAnsi="Arial" w:cs="Arial"/>
          <w:noProof/>
          <w:sz w:val="20"/>
          <w:szCs w:val="20"/>
          <w:lang w:val="en-GB" w:eastAsia="en-GB"/>
        </w:rPr>
        <w:t>18</w:t>
      </w:r>
      <w:r w:rsidRPr="002177B2">
        <w:rPr>
          <w:rFonts w:ascii="Arial" w:eastAsia="Times New Roman" w:hAnsi="Arial" w:cs="Arial"/>
          <w:sz w:val="20"/>
          <w:szCs w:val="20"/>
          <w:lang w:val="en-GB" w:eastAsia="en-GB"/>
        </w:rPr>
        <w:fldChar w:fldCharType="end"/>
      </w:r>
      <w:r w:rsidRPr="002177B2">
        <w:rPr>
          <w:rFonts w:ascii="Arial" w:eastAsia="Times New Roman" w:hAnsi="Arial" w:cs="Arial"/>
          <w:sz w:val="20"/>
          <w:szCs w:val="20"/>
          <w:lang w:val="en-GB" w:eastAsia="en-GB"/>
        </w:rPr>
        <w:t xml:space="preserve">b).  Anisotropic modelling allows previously enigmatic and disparate mineralised intercepts to become logical and better fitting with the structural architecture and mineralisation styles of the deposit.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lastRenderedPageBreak/>
        <w:t xml:space="preserve">The derived anisotropic </w:t>
      </w:r>
      <w:proofErr w:type="spellStart"/>
      <w:r w:rsidRPr="002177B2">
        <w:rPr>
          <w:rFonts w:ascii="Arial" w:eastAsia="Times New Roman" w:hAnsi="Arial" w:cs="Arial"/>
          <w:sz w:val="20"/>
          <w:szCs w:val="20"/>
          <w:lang w:val="en-GB" w:eastAsia="en-GB"/>
        </w:rPr>
        <w:t>isosurfaces</w:t>
      </w:r>
      <w:proofErr w:type="spellEnd"/>
      <w:r w:rsidRPr="002177B2">
        <w:rPr>
          <w:rFonts w:ascii="Arial" w:eastAsia="Times New Roman" w:hAnsi="Arial" w:cs="Arial"/>
          <w:sz w:val="20"/>
          <w:szCs w:val="20"/>
          <w:lang w:val="en-GB" w:eastAsia="en-GB"/>
        </w:rPr>
        <w:t xml:space="preserve"> with a geological foundation serve as templates for construction of estimation domains that are utilised dependent on geostatistical exploratory data analysis (EDA).</w:t>
      </w:r>
    </w:p>
    <w:p w:rsidR="002177B2" w:rsidRPr="002177B2" w:rsidRDefault="002177B2" w:rsidP="002177B2">
      <w:pPr>
        <w:spacing w:after="160" w:line="252" w:lineRule="auto"/>
        <w:jc w:val="both"/>
        <w:rPr>
          <w:rFonts w:ascii="Arial" w:eastAsia="Times New Roman" w:hAnsi="Arial" w:cs="Arial"/>
          <w:b/>
          <w:sz w:val="20"/>
          <w:szCs w:val="20"/>
          <w:lang w:val="en-GB" w:eastAsia="en-GB"/>
        </w:rPr>
      </w:pPr>
      <w:r w:rsidRPr="002177B2">
        <w:rPr>
          <w:rFonts w:ascii="Arial" w:eastAsia="Times New Roman" w:hAnsi="Arial" w:cs="Arial"/>
          <w:b/>
          <w:sz w:val="20"/>
          <w:szCs w:val="20"/>
          <w:lang w:val="en-GB" w:eastAsia="en-GB"/>
        </w:rPr>
        <w:br w:type="page"/>
      </w:r>
    </w:p>
    <w:p w:rsidR="002177B2" w:rsidRPr="002177B2" w:rsidRDefault="002177B2" w:rsidP="002177B2">
      <w:pPr>
        <w:spacing w:after="160" w:line="252" w:lineRule="auto"/>
        <w:jc w:val="both"/>
        <w:rPr>
          <w:rFonts w:ascii="Arial" w:eastAsia="Times New Roman" w:hAnsi="Arial" w:cs="Arial"/>
          <w:b/>
          <w:sz w:val="20"/>
          <w:szCs w:val="20"/>
          <w:lang w:val="en-GB" w:eastAsia="en-GB"/>
        </w:rPr>
      </w:pPr>
      <w:r>
        <w:rPr>
          <w:rFonts w:ascii="Arial" w:eastAsia="Times New Roman" w:hAnsi="Arial" w:cs="Arial"/>
          <w:noProof/>
          <w:sz w:val="20"/>
          <w:szCs w:val="20"/>
          <w:lang w:eastAsia="en-AU"/>
        </w:rPr>
        <w:lastRenderedPageBreak/>
        <w:drawing>
          <wp:inline distT="0" distB="0" distL="0" distR="0">
            <wp:extent cx="4610100" cy="6381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6381750"/>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
          <w:bCs/>
          <w:i/>
          <w:iCs/>
          <w:sz w:val="18"/>
          <w:lang w:val="en-GB" w:eastAsia="en-GB"/>
        </w:rPr>
      </w:pPr>
      <w:bookmarkStart w:id="11" w:name="_Ref414366359"/>
      <w:bookmarkStart w:id="12" w:name="_Toc425407235"/>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13</w:t>
      </w:r>
      <w:r w:rsidRPr="002177B2">
        <w:rPr>
          <w:rFonts w:ascii="Arial" w:eastAsia="SimSun" w:hAnsi="Arial" w:cs="Times New Roman"/>
          <w:b/>
          <w:bCs/>
          <w:i/>
          <w:iCs/>
          <w:noProof/>
          <w:sz w:val="18"/>
          <w:lang w:val="en-GB" w:eastAsia="en-GB"/>
        </w:rPr>
        <w:fldChar w:fldCharType="end"/>
      </w:r>
      <w:bookmarkEnd w:id="11"/>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Geological interpretation at </w:t>
      </w:r>
      <w:proofErr w:type="spellStart"/>
      <w:r w:rsidRPr="002177B2">
        <w:rPr>
          <w:rFonts w:ascii="Arial" w:eastAsia="SimSun" w:hAnsi="Arial" w:cs="Times New Roman"/>
          <w:bCs/>
          <w:i/>
          <w:iCs/>
          <w:sz w:val="18"/>
          <w:lang w:val="en-GB" w:eastAsia="en-GB"/>
        </w:rPr>
        <w:t>Buckleys</w:t>
      </w:r>
      <w:proofErr w:type="spellEnd"/>
      <w:r w:rsidRPr="002177B2">
        <w:rPr>
          <w:rFonts w:ascii="Arial" w:eastAsia="SimSun" w:hAnsi="Arial" w:cs="Times New Roman"/>
          <w:bCs/>
          <w:i/>
          <w:iCs/>
          <w:sz w:val="18"/>
          <w:lang w:val="en-GB" w:eastAsia="en-GB"/>
        </w:rPr>
        <w:t xml:space="preserve"> Hill on cross section 6150mN</w:t>
      </w:r>
      <w:bookmarkEnd w:id="12"/>
      <w:r w:rsidRPr="002177B2">
        <w:rPr>
          <w:rFonts w:ascii="Arial" w:eastAsia="SimSun" w:hAnsi="Arial" w:cs="Times New Roman"/>
          <w:bCs/>
          <w:i/>
          <w:iCs/>
          <w:sz w:val="18"/>
          <w:lang w:val="en-GB" w:eastAsia="en-GB"/>
        </w:rPr>
        <w:t xml:space="preserve"> (Hayward, 2014)</w:t>
      </w:r>
    </w:p>
    <w:p w:rsidR="002177B2" w:rsidRPr="002177B2" w:rsidRDefault="002177B2" w:rsidP="002177B2">
      <w:pPr>
        <w:spacing w:after="160" w:line="252" w:lineRule="auto"/>
        <w:jc w:val="both"/>
        <w:rPr>
          <w:rFonts w:ascii="Arial" w:eastAsia="Times New Roman" w:hAnsi="Arial" w:cs="Arial"/>
          <w:b/>
          <w:sz w:val="20"/>
          <w:szCs w:val="20"/>
          <w:lang w:val="en-GB" w:eastAsia="en-GB"/>
        </w:rPr>
      </w:pP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 xml:space="preserve">Mineral Resource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A clear understanding of the geology of a project and the geological controls on mineralisation facilitated the provision of a robust and defensible geological model as the foundation for the development of </w:t>
      </w:r>
      <w:proofErr w:type="gramStart"/>
      <w:r w:rsidRPr="002177B2">
        <w:rPr>
          <w:rFonts w:ascii="Arial" w:eastAsia="Times New Roman" w:hAnsi="Arial" w:cs="Arial"/>
          <w:sz w:val="20"/>
          <w:szCs w:val="20"/>
          <w:lang w:val="en-GB" w:eastAsia="en-GB"/>
        </w:rPr>
        <w:t>a mineral</w:t>
      </w:r>
      <w:proofErr w:type="gramEnd"/>
      <w:r w:rsidRPr="002177B2">
        <w:rPr>
          <w:rFonts w:ascii="Arial" w:eastAsia="Times New Roman" w:hAnsi="Arial" w:cs="Arial"/>
          <w:sz w:val="20"/>
          <w:szCs w:val="20"/>
          <w:lang w:val="en-GB" w:eastAsia="en-GB"/>
        </w:rPr>
        <w:t xml:space="preserve"> resource estimation.  The combination of traditional and modern geological approaches with a 3D computer-based model along with appropriate check and verification steps, has achieved an updated geology based mineral resource for Copper Hill. Tighter geological controls on the estimation of domain geometry and parameter determination reflect the geological controls to mineralisation and have therefore facilitated an improved outcome for the project. </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Pr>
          <w:rFonts w:ascii="Arial" w:eastAsia="Times New Roman" w:hAnsi="Arial" w:cs="Arial"/>
          <w:noProof/>
          <w:sz w:val="20"/>
          <w:szCs w:val="20"/>
          <w:lang w:eastAsia="en-AU"/>
        </w:rPr>
        <w:lastRenderedPageBreak/>
        <w:drawing>
          <wp:inline distT="0" distB="0" distL="0" distR="0">
            <wp:extent cx="5724525" cy="6276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6276975"/>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13" w:name="_Ref414453787"/>
      <w:bookmarkStart w:id="14" w:name="_Toc425407242"/>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14</w:t>
      </w:r>
      <w:r w:rsidRPr="002177B2">
        <w:rPr>
          <w:rFonts w:ascii="Arial" w:eastAsia="SimSun" w:hAnsi="Arial" w:cs="Times New Roman"/>
          <w:b/>
          <w:bCs/>
          <w:i/>
          <w:iCs/>
          <w:noProof/>
          <w:sz w:val="18"/>
          <w:lang w:val="en-GB" w:eastAsia="en-GB"/>
        </w:rPr>
        <w:fldChar w:fldCharType="end"/>
      </w:r>
      <w:bookmarkEnd w:id="13"/>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Zoned mineralisation patterns around drill hole GCHD470 (Hayward 2014).  High-grade mineralisation can be considered as gold-copper.  The oxide zone within the open pit has the highest </w:t>
      </w:r>
      <w:proofErr w:type="spellStart"/>
      <w:r w:rsidRPr="002177B2">
        <w:rPr>
          <w:rFonts w:ascii="Arial" w:eastAsia="SimSun" w:hAnsi="Arial" w:cs="Times New Roman"/>
          <w:bCs/>
          <w:i/>
          <w:iCs/>
          <w:sz w:val="18"/>
          <w:lang w:val="en-GB" w:eastAsia="en-GB"/>
        </w:rPr>
        <w:t>Au</w:t>
      </w:r>
      <w:proofErr w:type="gramStart"/>
      <w:r w:rsidRPr="002177B2">
        <w:rPr>
          <w:rFonts w:ascii="Arial" w:eastAsia="SimSun" w:hAnsi="Arial" w:cs="Times New Roman"/>
          <w:bCs/>
          <w:i/>
          <w:iCs/>
          <w:sz w:val="18"/>
          <w:lang w:val="en-GB" w:eastAsia="en-GB"/>
        </w:rPr>
        <w:t>:Cu</w:t>
      </w:r>
      <w:proofErr w:type="spellEnd"/>
      <w:proofErr w:type="gramEnd"/>
      <w:r w:rsidRPr="002177B2">
        <w:rPr>
          <w:rFonts w:ascii="Arial" w:eastAsia="SimSun" w:hAnsi="Arial" w:cs="Times New Roman"/>
          <w:bCs/>
          <w:i/>
          <w:iCs/>
          <w:sz w:val="18"/>
          <w:lang w:val="en-GB" w:eastAsia="en-GB"/>
        </w:rPr>
        <w:t xml:space="preserve"> ratio at 6:1.</w:t>
      </w:r>
      <w:bookmarkEnd w:id="14"/>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 2015 mineral resource estimate resulted in combined inferred and indicated material totalling 28Mt @ 0.56% Cu and 0.53g/t Au for 160,000t Cu (1% increase) and 480,000 ounces Au (9% increase) at 0.4% Cu cut-off grade. </w:t>
      </w:r>
      <w:proofErr w:type="gramStart"/>
      <w:r w:rsidRPr="002177B2">
        <w:rPr>
          <w:rFonts w:ascii="Arial" w:eastAsia="Times New Roman" w:hAnsi="Arial" w:cs="Arial"/>
          <w:sz w:val="20"/>
          <w:szCs w:val="20"/>
          <w:lang w:val="en-GB" w:eastAsia="en-GB"/>
        </w:rPr>
        <w:t>A net increase in metal content within the high grade (</w:t>
      </w:r>
      <w:r w:rsidRPr="002177B2">
        <w:rPr>
          <w:rFonts w:ascii="Arial" w:eastAsia="Times New Roman" w:hAnsi="Arial" w:cs="Arial"/>
          <w:sz w:val="20"/>
          <w:szCs w:val="20"/>
          <w:u w:val="single"/>
          <w:lang w:val="en-GB" w:eastAsia="en-GB"/>
        </w:rPr>
        <w:t>&gt;</w:t>
      </w:r>
      <w:r w:rsidRPr="002177B2">
        <w:rPr>
          <w:rFonts w:ascii="Arial" w:eastAsia="Times New Roman" w:hAnsi="Arial" w:cs="Arial"/>
          <w:sz w:val="20"/>
          <w:szCs w:val="20"/>
          <w:lang w:val="en-GB" w:eastAsia="en-GB"/>
        </w:rPr>
        <w:t>0.4% Cu) resource and a reduction in tonnes of lower grade (&lt;0.4% Cu) mineralisation.</w:t>
      </w:r>
      <w:proofErr w:type="gramEnd"/>
      <w:r w:rsidRPr="002177B2">
        <w:rPr>
          <w:rFonts w:ascii="Arial" w:eastAsia="Times New Roman" w:hAnsi="Arial" w:cs="Arial"/>
          <w:sz w:val="20"/>
          <w:szCs w:val="20"/>
          <w:lang w:val="en-GB" w:eastAsia="en-GB"/>
        </w:rPr>
        <w:t xml:space="preserve"> </w:t>
      </w:r>
      <w:proofErr w:type="gramStart"/>
      <w:r w:rsidRPr="002177B2">
        <w:rPr>
          <w:rFonts w:ascii="Arial" w:eastAsia="Times New Roman" w:hAnsi="Arial" w:cs="Arial"/>
          <w:sz w:val="20"/>
          <w:szCs w:val="20"/>
          <w:lang w:val="en-GB" w:eastAsia="en-GB"/>
        </w:rPr>
        <w:t>(Ridley 2015; GCR, 2015).</w:t>
      </w:r>
      <w:proofErr w:type="gramEnd"/>
    </w:p>
    <w:p w:rsidR="002177B2" w:rsidRPr="002177B2" w:rsidRDefault="002177B2" w:rsidP="002177B2">
      <w:pPr>
        <w:spacing w:after="160" w:line="252" w:lineRule="auto"/>
        <w:jc w:val="both"/>
        <w:rPr>
          <w:rFonts w:ascii="Arial" w:eastAsia="Times New Roman" w:hAnsi="Arial" w:cs="Arial"/>
          <w:b/>
          <w:sz w:val="20"/>
          <w:szCs w:val="20"/>
          <w:lang w:val="en-GB" w:eastAsia="en-GB"/>
        </w:rPr>
      </w:pPr>
    </w:p>
    <w:p w:rsidR="002177B2" w:rsidRPr="002177B2" w:rsidRDefault="002177B2" w:rsidP="002177B2">
      <w:pPr>
        <w:spacing w:after="160" w:line="252" w:lineRule="auto"/>
        <w:jc w:val="both"/>
        <w:rPr>
          <w:rFonts w:ascii="Arial" w:eastAsia="Times New Roman" w:hAnsi="Arial" w:cs="Arial"/>
          <w:b/>
          <w:sz w:val="20"/>
          <w:szCs w:val="20"/>
          <w:lang w:val="en-GB" w:eastAsia="en-GB"/>
        </w:rPr>
      </w:pPr>
    </w:p>
    <w:p w:rsidR="002177B2" w:rsidRPr="002177B2" w:rsidRDefault="002177B2" w:rsidP="002177B2">
      <w:pPr>
        <w:spacing w:after="160" w:line="252" w:lineRule="auto"/>
        <w:jc w:val="both"/>
        <w:rPr>
          <w:rFonts w:ascii="Arial" w:eastAsia="Times New Roman" w:hAnsi="Arial" w:cs="Arial"/>
          <w:b/>
          <w:sz w:val="20"/>
          <w:szCs w:val="20"/>
          <w:lang w:val="en-GB" w:eastAsia="en-GB"/>
        </w:rPr>
      </w:pPr>
      <w:r>
        <w:rPr>
          <w:rFonts w:ascii="Arial" w:eastAsia="Times New Roman" w:hAnsi="Arial" w:cs="Arial"/>
          <w:noProof/>
          <w:sz w:val="20"/>
          <w:szCs w:val="20"/>
          <w:lang w:eastAsia="en-AU"/>
        </w:rPr>
        <w:lastRenderedPageBreak/>
        <w:drawing>
          <wp:inline distT="0" distB="0" distL="0" distR="0">
            <wp:extent cx="3895725" cy="5400675"/>
            <wp:effectExtent l="0" t="0" r="9525" b="9525"/>
            <wp:docPr id="4" name="Picture 4" descr="E:\360GSC_Projects\Copper Hill\Hayward Diagrams\Hayward Diagrams\20150321 X GCHD 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360GSC_Projects\Copper Hill\Hayward Diagrams\Hayward Diagrams\20150321 X GCHD 47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95725" cy="5400675"/>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15" w:name="_Ref414368138"/>
      <w:bookmarkStart w:id="16" w:name="_Toc425407243"/>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15</w:t>
      </w:r>
      <w:r w:rsidRPr="002177B2">
        <w:rPr>
          <w:rFonts w:ascii="Arial" w:eastAsia="SimSun" w:hAnsi="Arial" w:cs="Times New Roman"/>
          <w:b/>
          <w:bCs/>
          <w:i/>
          <w:iCs/>
          <w:noProof/>
          <w:sz w:val="18"/>
          <w:lang w:val="en-GB" w:eastAsia="en-GB"/>
        </w:rPr>
        <w:fldChar w:fldCharType="end"/>
      </w:r>
      <w:bookmarkEnd w:id="15"/>
      <w:r w:rsidRPr="002177B2">
        <w:rPr>
          <w:rFonts w:ascii="Arial" w:eastAsia="SimSun" w:hAnsi="Arial" w:cs="Times New Roman"/>
          <w:bCs/>
          <w:i/>
          <w:iCs/>
          <w:sz w:val="18"/>
          <w:lang w:val="en-GB" w:eastAsia="en-GB"/>
        </w:rPr>
        <w:t>.</w:t>
      </w:r>
      <w:proofErr w:type="gramEnd"/>
      <w:r w:rsidRPr="002177B2">
        <w:rPr>
          <w:rFonts w:ascii="Arial" w:eastAsia="SimSun" w:hAnsi="Arial" w:cs="Times New Roman"/>
          <w:bCs/>
          <w:i/>
          <w:iCs/>
          <w:sz w:val="18"/>
          <w:lang w:val="en-GB" w:eastAsia="en-GB"/>
        </w:rPr>
        <w:t xml:space="preserve">  </w:t>
      </w:r>
      <w:proofErr w:type="gramStart"/>
      <w:r w:rsidRPr="002177B2">
        <w:rPr>
          <w:rFonts w:ascii="Arial" w:eastAsia="SimSun" w:hAnsi="Arial" w:cs="Times New Roman"/>
          <w:bCs/>
          <w:i/>
          <w:iCs/>
          <w:sz w:val="18"/>
          <w:lang w:val="en-GB" w:eastAsia="en-GB"/>
        </w:rPr>
        <w:t>Schematic cross section of drill hole GCHD474 (Hayward, 2015).</w:t>
      </w:r>
      <w:proofErr w:type="gramEnd"/>
      <w:r w:rsidRPr="002177B2">
        <w:rPr>
          <w:rFonts w:ascii="Arial" w:eastAsia="SimSun" w:hAnsi="Arial" w:cs="Times New Roman"/>
          <w:bCs/>
          <w:i/>
          <w:iCs/>
          <w:sz w:val="18"/>
          <w:lang w:val="en-GB" w:eastAsia="en-GB"/>
        </w:rPr>
        <w:t xml:space="preserve">  Narrow </w:t>
      </w:r>
      <w:proofErr w:type="spellStart"/>
      <w:r w:rsidRPr="002177B2">
        <w:rPr>
          <w:rFonts w:ascii="Arial" w:eastAsia="SimSun" w:hAnsi="Arial" w:cs="Times New Roman"/>
          <w:bCs/>
          <w:i/>
          <w:iCs/>
          <w:sz w:val="18"/>
          <w:lang w:val="en-GB" w:eastAsia="en-GB"/>
        </w:rPr>
        <w:t>microtonalite</w:t>
      </w:r>
      <w:proofErr w:type="spellEnd"/>
      <w:r w:rsidRPr="002177B2">
        <w:rPr>
          <w:rFonts w:ascii="Arial" w:eastAsia="SimSun" w:hAnsi="Arial" w:cs="Times New Roman"/>
          <w:bCs/>
          <w:i/>
          <w:iCs/>
          <w:sz w:val="18"/>
          <w:lang w:val="en-GB" w:eastAsia="en-GB"/>
        </w:rPr>
        <w:t xml:space="preserve"> porphyry dykes with associated A- M- &amp; B-Veins and high copper-gold grades associated with later C-vein (</w:t>
      </w:r>
      <w:proofErr w:type="spellStart"/>
      <w:r w:rsidRPr="002177B2">
        <w:rPr>
          <w:rFonts w:ascii="Arial" w:eastAsia="SimSun" w:hAnsi="Arial" w:cs="Times New Roman"/>
          <w:bCs/>
          <w:i/>
          <w:iCs/>
          <w:sz w:val="18"/>
          <w:lang w:val="en-GB" w:eastAsia="en-GB"/>
        </w:rPr>
        <w:t>chalcopyrite+bornite</w:t>
      </w:r>
      <w:proofErr w:type="spellEnd"/>
      <w:r w:rsidRPr="002177B2">
        <w:rPr>
          <w:rFonts w:ascii="Arial" w:eastAsia="SimSun" w:hAnsi="Arial" w:cs="Times New Roman"/>
          <w:bCs/>
          <w:i/>
          <w:iCs/>
          <w:sz w:val="18"/>
          <w:lang w:val="en-GB" w:eastAsia="en-GB"/>
        </w:rPr>
        <w:t>) event.  Veins form carapace-like features attenuated along strike and to a lesser extent up dip.</w:t>
      </w:r>
      <w:bookmarkEnd w:id="16"/>
    </w:p>
    <w:p w:rsidR="002177B2" w:rsidRPr="002177B2" w:rsidRDefault="002177B2" w:rsidP="002177B2">
      <w:pPr>
        <w:spacing w:after="160" w:line="252" w:lineRule="auto"/>
        <w:jc w:val="both"/>
        <w:rPr>
          <w:rFonts w:ascii="Arial" w:eastAsia="Times New Roman" w:hAnsi="Arial" w:cs="Arial"/>
          <w:b/>
          <w:sz w:val="20"/>
          <w:szCs w:val="20"/>
          <w:lang w:val="en-GB" w:eastAsia="en-GB"/>
        </w:rPr>
      </w:pP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 xml:space="preserve">Conclusions </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 xml:space="preserve">There are many prospects and projects that have been explored over the decades that may not have been, or continue to be considered </w:t>
      </w:r>
      <w:proofErr w:type="spellStart"/>
      <w:r w:rsidRPr="002177B2">
        <w:rPr>
          <w:rFonts w:ascii="Arial" w:eastAsia="Times New Roman" w:hAnsi="Arial" w:cs="Arial"/>
          <w:sz w:val="20"/>
          <w:szCs w:val="20"/>
          <w:lang w:val="en-GB" w:eastAsia="en-GB"/>
        </w:rPr>
        <w:t>unprospective</w:t>
      </w:r>
      <w:proofErr w:type="spellEnd"/>
      <w:r w:rsidRPr="002177B2">
        <w:rPr>
          <w:rFonts w:ascii="Arial" w:eastAsia="Times New Roman" w:hAnsi="Arial" w:cs="Arial"/>
          <w:sz w:val="20"/>
          <w:szCs w:val="20"/>
          <w:lang w:val="en-GB" w:eastAsia="en-GB"/>
        </w:rPr>
        <w:t xml:space="preserve"> for economic mineralisation based on ‘reputation’.  Integration of traditional and modern data collection approaches to surface and drill hole data, utilisation of modern computer based analysis and processing tools, combined with traditional geology approaches and models for mineralised systems, demonstrates that a robust geology based deposit model of Copper Hill is achievable.  The key factor is the link between good fundamental geological observations, and an analysis by geologists which allowed logical and rational verification of computer generated models and scenarios.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Recognition that the high-grade copper-gold event at Copper Hill can be genetically and spatially defined, and potentially not downgraded by later intrusion events, has facilitated the generation of extension and expansion exploration targets.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Continued drill tests might now be oriented to better intersect the mineralised veins at higher angles to the core axis.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lastRenderedPageBreak/>
        <w:t xml:space="preserve">The use of a robust 3D geology model for mineral resource modelling has resulted in a mineral resource estimate that meets JORC 2012 guidelines.  Combined inferred and indicated mineral resources at 0.4% Cu cut-off grade are 28Mt @ 0.56% Cu and 0.53g/t Au for 160,000t Cu (1% increase) and 480,000 ounces Au (9% increase). </w:t>
      </w:r>
      <w:proofErr w:type="gramStart"/>
      <w:r w:rsidRPr="002177B2">
        <w:rPr>
          <w:rFonts w:ascii="Arial" w:eastAsia="Times New Roman" w:hAnsi="Arial" w:cs="Arial"/>
          <w:sz w:val="20"/>
          <w:szCs w:val="20"/>
          <w:lang w:val="en-GB" w:eastAsia="en-GB"/>
        </w:rPr>
        <w:t>(Ridley, 2015; GCR, 2015).</w:t>
      </w:r>
      <w:proofErr w:type="gramEnd"/>
      <w:r w:rsidRPr="002177B2">
        <w:rPr>
          <w:rFonts w:ascii="Arial" w:eastAsia="Times New Roman" w:hAnsi="Arial" w:cs="Arial"/>
          <w:sz w:val="20"/>
          <w:szCs w:val="20"/>
          <w:lang w:val="en-GB" w:eastAsia="en-GB"/>
        </w:rPr>
        <w:t xml:space="preserve"> </w:t>
      </w: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Times New Roman"/>
          <w:b/>
          <w:bCs/>
          <w:sz w:val="24"/>
          <w:szCs w:val="28"/>
          <w:lang w:val="en-GB" w:eastAsia="en-GB"/>
        </w:rPr>
        <w:t>Acknowledgements</w:t>
      </w:r>
    </w:p>
    <w:p w:rsidR="002177B2" w:rsidRPr="002177B2" w:rsidRDefault="002177B2" w:rsidP="002177B2">
      <w:pPr>
        <w:spacing w:after="160" w:line="252" w:lineRule="auto"/>
        <w:jc w:val="both"/>
        <w:rPr>
          <w:rFonts w:ascii="Arial" w:eastAsia="Times New Roman" w:hAnsi="Arial" w:cs="Arial"/>
          <w:sz w:val="20"/>
          <w:szCs w:val="20"/>
          <w:lang w:val="en-GB" w:eastAsia="en-GB"/>
        </w:rPr>
      </w:pPr>
      <w:r w:rsidRPr="002177B2">
        <w:rPr>
          <w:rFonts w:ascii="Arial" w:eastAsia="Times New Roman" w:hAnsi="Arial" w:cs="Arial"/>
          <w:sz w:val="20"/>
          <w:szCs w:val="20"/>
          <w:lang w:val="en-GB" w:eastAsia="en-GB"/>
        </w:rPr>
        <w:t>The authors would like to thank Golden Cross for permission to publish this paper.  Special thanks go to the site support personnel of Brendan Roberts and Mick Bates for their patience laying out and restacking voluminous amounts of drill core for review.</w:t>
      </w: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both"/>
        <w:rPr>
          <w:rFonts w:ascii="Arial" w:eastAsia="Times New Roman" w:hAnsi="Arial" w:cs="Arial"/>
          <w:sz w:val="20"/>
          <w:szCs w:val="20"/>
          <w:lang w:val="en-GB" w:eastAsia="en-GB"/>
        </w:rPr>
      </w:pPr>
    </w:p>
    <w:p w:rsidR="002177B2" w:rsidRPr="002177B2" w:rsidRDefault="002177B2" w:rsidP="002177B2">
      <w:pPr>
        <w:spacing w:after="160" w:line="252" w:lineRule="auto"/>
        <w:jc w:val="center"/>
        <w:rPr>
          <w:rFonts w:ascii="Arial" w:eastAsia="SimSun" w:hAnsi="Arial" w:cs="Times New Roman"/>
          <w:bCs/>
          <w:i/>
          <w:iCs/>
          <w:sz w:val="18"/>
          <w:lang w:val="en-GB"/>
        </w:rPr>
      </w:pPr>
      <w:r>
        <w:rPr>
          <w:rFonts w:ascii="Arial" w:eastAsia="Times New Roman" w:hAnsi="Arial" w:cs="Arial"/>
          <w:noProof/>
          <w:sz w:val="20"/>
          <w:szCs w:val="20"/>
          <w:lang w:eastAsia="en-AU"/>
        </w:rPr>
        <mc:AlternateContent>
          <mc:Choice Requires="wps">
            <w:drawing>
              <wp:anchor distT="0" distB="0" distL="114300" distR="114300" simplePos="0" relativeHeight="251659264" behindDoc="0" locked="0" layoutInCell="1" allowOverlap="1">
                <wp:simplePos x="0" y="0"/>
                <wp:positionH relativeFrom="column">
                  <wp:posOffset>3487420</wp:posOffset>
                </wp:positionH>
                <wp:positionV relativeFrom="paragraph">
                  <wp:posOffset>1525905</wp:posOffset>
                </wp:positionV>
                <wp:extent cx="190500" cy="595630"/>
                <wp:effectExtent l="114300" t="38100" r="19050" b="0"/>
                <wp:wrapNone/>
                <wp:docPr id="243" name="Right Brac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36673">
                          <a:off x="0" y="0"/>
                          <a:ext cx="190500" cy="595630"/>
                        </a:xfrm>
                        <a:prstGeom prst="rightBrac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43" o:spid="_x0000_s1026" type="#_x0000_t88" style="position:absolute;margin-left:274.6pt;margin-top:120.15pt;width:15pt;height:46.9pt;rotation:146000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" adj="576" strokecolor="windowText" strokeweight="1pt"/>
            </w:pict>
          </mc:Fallback>
        </mc:AlternateContent>
      </w:r>
      <w:r>
        <w:rPr>
          <w:rFonts w:ascii="Arial" w:eastAsia="Times New Roman" w:hAnsi="Arial" w:cs="Arial"/>
          <w:noProof/>
          <w:sz w:val="20"/>
          <w:szCs w:val="20"/>
          <w:lang w:eastAsia="en-AU"/>
        </w:rPr>
        <w:drawing>
          <wp:inline distT="0" distB="0" distL="0" distR="0">
            <wp:extent cx="5734050" cy="422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229100"/>
                    </a:xfrm>
                    <a:prstGeom prst="rect">
                      <a:avLst/>
                    </a:prstGeom>
                    <a:noFill/>
                    <a:ln>
                      <a:noFill/>
                    </a:ln>
                  </pic:spPr>
                </pic:pic>
              </a:graphicData>
            </a:graphic>
          </wp:inline>
        </w:drawing>
      </w:r>
      <w:bookmarkStart w:id="17" w:name="_Ref414367194"/>
      <w:bookmarkStart w:id="18" w:name="_Toc425407244"/>
      <w:proofErr w:type="gramStart"/>
      <w:r w:rsidRPr="002177B2">
        <w:rPr>
          <w:rFonts w:ascii="Arial" w:eastAsia="SimSun" w:hAnsi="Arial" w:cs="Times New Roman"/>
          <w:b/>
          <w:bCs/>
          <w:i/>
          <w:iCs/>
          <w:sz w:val="18"/>
          <w:lang w:val="en-GB"/>
        </w:rPr>
        <w:t xml:space="preserve">Figure </w:t>
      </w:r>
      <w:r w:rsidRPr="002177B2">
        <w:rPr>
          <w:rFonts w:ascii="Arial" w:eastAsia="SimSun" w:hAnsi="Arial" w:cs="Times New Roman"/>
          <w:b/>
          <w:bCs/>
          <w:i/>
          <w:iCs/>
          <w:sz w:val="18"/>
          <w:lang w:val="en-GB"/>
        </w:rPr>
        <w:fldChar w:fldCharType="begin"/>
      </w:r>
      <w:r w:rsidRPr="002177B2">
        <w:rPr>
          <w:rFonts w:ascii="Arial" w:eastAsia="SimSun" w:hAnsi="Arial" w:cs="Times New Roman"/>
          <w:b/>
          <w:bCs/>
          <w:i/>
          <w:iCs/>
          <w:sz w:val="18"/>
          <w:lang w:val="en-GB"/>
        </w:rPr>
        <w:instrText xml:space="preserve"> SEQ Figure \* ARABIC </w:instrText>
      </w:r>
      <w:r w:rsidRPr="002177B2">
        <w:rPr>
          <w:rFonts w:ascii="Arial" w:eastAsia="SimSun" w:hAnsi="Arial" w:cs="Times New Roman"/>
          <w:b/>
          <w:bCs/>
          <w:i/>
          <w:iCs/>
          <w:sz w:val="18"/>
          <w:lang w:val="en-GB"/>
        </w:rPr>
        <w:fldChar w:fldCharType="separate"/>
      </w:r>
      <w:r w:rsidRPr="002177B2">
        <w:rPr>
          <w:rFonts w:ascii="Arial" w:eastAsia="SimSun" w:hAnsi="Arial" w:cs="Times New Roman"/>
          <w:b/>
          <w:bCs/>
          <w:i/>
          <w:iCs/>
          <w:sz w:val="18"/>
          <w:lang w:val="en-GB"/>
        </w:rPr>
        <w:t>16</w:t>
      </w:r>
      <w:r w:rsidRPr="002177B2">
        <w:rPr>
          <w:rFonts w:ascii="Arial" w:eastAsia="SimSun" w:hAnsi="Arial" w:cs="Times New Roman"/>
          <w:b/>
          <w:bCs/>
          <w:i/>
          <w:iCs/>
          <w:sz w:val="18"/>
          <w:lang w:val="en-GB"/>
        </w:rPr>
        <w:fldChar w:fldCharType="end"/>
      </w:r>
      <w:bookmarkEnd w:id="17"/>
      <w:r w:rsidRPr="002177B2">
        <w:rPr>
          <w:rFonts w:ascii="Arial" w:eastAsia="SimSun" w:hAnsi="Arial" w:cs="Times New Roman"/>
          <w:b/>
          <w:bCs/>
          <w:i/>
          <w:iCs/>
          <w:sz w:val="18"/>
          <w:lang w:val="en-GB"/>
        </w:rPr>
        <w:t>.</w:t>
      </w:r>
      <w:proofErr w:type="gramEnd"/>
      <w:r w:rsidRPr="002177B2">
        <w:rPr>
          <w:rFonts w:ascii="Arial" w:eastAsia="SimSun" w:hAnsi="Arial" w:cs="Times New Roman"/>
          <w:bCs/>
          <w:i/>
          <w:iCs/>
          <w:sz w:val="18"/>
          <w:lang w:val="en-GB"/>
        </w:rPr>
        <w:t xml:space="preserve">  Local structural architecture of the Copper Hill mineralised system (Hayward, 2015).</w:t>
      </w:r>
      <w:bookmarkEnd w:id="18"/>
    </w:p>
    <w:p w:rsidR="002177B2" w:rsidRPr="002177B2" w:rsidRDefault="002177B2" w:rsidP="002177B2">
      <w:pPr>
        <w:keepNext/>
        <w:keepLines/>
        <w:spacing w:after="0" w:line="252" w:lineRule="auto"/>
        <w:outlineLvl w:val="5"/>
        <w:rPr>
          <w:rFonts w:ascii="Arial" w:eastAsia="SimSun" w:hAnsi="Arial" w:cs="Times New Roman"/>
          <w:bCs/>
          <w:i/>
          <w:iCs/>
          <w:noProof/>
          <w:sz w:val="18"/>
          <w:szCs w:val="20"/>
          <w:lang w:val="en-GB" w:eastAsia="en-GB"/>
        </w:rPr>
      </w:pPr>
    </w:p>
    <w:p w:rsidR="002177B2" w:rsidRPr="002177B2" w:rsidRDefault="002177B2" w:rsidP="002177B2">
      <w:pPr>
        <w:keepNext/>
        <w:keepLines/>
        <w:spacing w:after="0" w:line="252" w:lineRule="auto"/>
        <w:outlineLvl w:val="5"/>
        <w:rPr>
          <w:rFonts w:ascii="Arial" w:eastAsia="SimSun" w:hAnsi="Arial" w:cs="Times New Roman"/>
          <w:bCs/>
          <w:i/>
          <w:iCs/>
          <w:sz w:val="18"/>
          <w:szCs w:val="20"/>
          <w:lang w:val="en-GB" w:eastAsia="en-GB"/>
        </w:rPr>
      </w:pPr>
      <w:r>
        <w:rPr>
          <w:rFonts w:ascii="Arial" w:eastAsia="SimSun" w:hAnsi="Arial" w:cs="Times New Roman"/>
          <w:bCs/>
          <w:i/>
          <w:iCs/>
          <w:noProof/>
          <w:sz w:val="18"/>
          <w:szCs w:val="20"/>
          <w:lang w:eastAsia="en-AU"/>
        </w:rPr>
        <w:drawing>
          <wp:inline distT="0" distB="0" distL="0" distR="0">
            <wp:extent cx="573405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3581400"/>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color w:val="0070C0"/>
          <w:sz w:val="18"/>
          <w:lang w:val="en-GB" w:eastAsia="en-GB"/>
        </w:rPr>
      </w:pPr>
      <w:bookmarkStart w:id="19" w:name="_Ref414367129"/>
      <w:bookmarkStart w:id="20" w:name="_Toc425407247"/>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17</w:t>
      </w:r>
      <w:r w:rsidRPr="002177B2">
        <w:rPr>
          <w:rFonts w:ascii="Arial" w:eastAsia="SimSun" w:hAnsi="Arial" w:cs="Times New Roman"/>
          <w:b/>
          <w:bCs/>
          <w:i/>
          <w:iCs/>
          <w:noProof/>
          <w:sz w:val="18"/>
          <w:lang w:val="en-GB" w:eastAsia="en-GB"/>
        </w:rPr>
        <w:fldChar w:fldCharType="end"/>
      </w:r>
      <w:bookmarkEnd w:id="19"/>
      <w:r w:rsidRPr="002177B2">
        <w:rPr>
          <w:rFonts w:ascii="Arial" w:eastAsia="SimSun" w:hAnsi="Arial" w:cs="Times New Roman"/>
          <w:b/>
          <w:bCs/>
          <w:i/>
          <w:iCs/>
          <w:sz w:val="18"/>
          <w:lang w:val="en-GB" w:eastAsia="en-GB"/>
        </w:rPr>
        <w:t>.</w:t>
      </w:r>
      <w:proofErr w:type="gramEnd"/>
      <w:r w:rsidRPr="002177B2">
        <w:rPr>
          <w:rFonts w:ascii="Arial" w:eastAsia="SimSun" w:hAnsi="Arial" w:cs="Times New Roman"/>
          <w:bCs/>
          <w:i/>
          <w:iCs/>
          <w:sz w:val="18"/>
          <w:lang w:val="en-GB" w:eastAsia="en-GB"/>
        </w:rPr>
        <w:t xml:space="preserve">  Copper Hill orientated drill core data (1795 poles to planes) for all mineralised veins. East-West trending vein sets are dominant over North-South and Northwest trends (</w:t>
      </w:r>
      <w:proofErr w:type="spellStart"/>
      <w:r w:rsidRPr="002177B2">
        <w:rPr>
          <w:rFonts w:ascii="Arial" w:eastAsia="SimSun" w:hAnsi="Arial" w:cs="Times New Roman"/>
          <w:bCs/>
          <w:i/>
          <w:iCs/>
          <w:sz w:val="18"/>
          <w:lang w:val="en-GB" w:eastAsia="en-GB"/>
        </w:rPr>
        <w:t>Coianiz</w:t>
      </w:r>
      <w:proofErr w:type="spellEnd"/>
      <w:r w:rsidRPr="002177B2">
        <w:rPr>
          <w:rFonts w:ascii="Arial" w:eastAsia="SimSun" w:hAnsi="Arial" w:cs="Times New Roman"/>
          <w:bCs/>
          <w:i/>
          <w:iCs/>
          <w:sz w:val="18"/>
          <w:lang w:val="en-GB" w:eastAsia="en-GB"/>
        </w:rPr>
        <w:t xml:space="preserve"> 2014, </w:t>
      </w:r>
      <w:proofErr w:type="spellStart"/>
      <w:r w:rsidRPr="002177B2">
        <w:rPr>
          <w:rFonts w:ascii="Arial" w:eastAsia="SimSun" w:hAnsi="Arial" w:cs="Times New Roman"/>
          <w:bCs/>
          <w:i/>
          <w:iCs/>
          <w:sz w:val="18"/>
          <w:lang w:val="en-GB" w:eastAsia="en-GB"/>
        </w:rPr>
        <w:t>Coianiz</w:t>
      </w:r>
      <w:proofErr w:type="spellEnd"/>
      <w:r w:rsidRPr="002177B2">
        <w:rPr>
          <w:rFonts w:ascii="Arial" w:eastAsia="SimSun" w:hAnsi="Arial" w:cs="Times New Roman"/>
          <w:bCs/>
          <w:i/>
          <w:iCs/>
          <w:sz w:val="18"/>
          <w:lang w:val="en-GB" w:eastAsia="en-GB"/>
        </w:rPr>
        <w:t xml:space="preserve"> 2015).</w:t>
      </w:r>
      <w:bookmarkEnd w:id="20"/>
    </w:p>
    <w:p w:rsidR="002177B2" w:rsidRPr="002177B2" w:rsidRDefault="002177B2" w:rsidP="002177B2">
      <w:pPr>
        <w:spacing w:after="160" w:line="252" w:lineRule="auto"/>
        <w:jc w:val="center"/>
        <w:rPr>
          <w:rFonts w:ascii="Arial" w:eastAsia="Times New Roman" w:hAnsi="Arial" w:cs="Arial"/>
          <w:sz w:val="20"/>
          <w:szCs w:val="20"/>
          <w:lang w:val="en-GB" w:eastAsia="en-GB"/>
        </w:rPr>
      </w:pPr>
    </w:p>
    <w:p w:rsidR="002177B2" w:rsidRPr="002177B2" w:rsidRDefault="002177B2" w:rsidP="002177B2">
      <w:pPr>
        <w:spacing w:after="160" w:line="252" w:lineRule="auto"/>
        <w:jc w:val="center"/>
        <w:rPr>
          <w:rFonts w:ascii="Arial" w:eastAsia="Times New Roman" w:hAnsi="Arial" w:cs="Arial"/>
          <w:sz w:val="20"/>
          <w:szCs w:val="20"/>
          <w:lang w:val="en-GB" w:eastAsia="en-GB"/>
        </w:rPr>
      </w:pPr>
      <w:r>
        <w:rPr>
          <w:rFonts w:ascii="Arial" w:eastAsia="Times New Roman" w:hAnsi="Arial" w:cs="Arial"/>
          <w:noProof/>
          <w:sz w:val="20"/>
          <w:szCs w:val="20"/>
          <w:lang w:eastAsia="en-AU"/>
        </w:rPr>
        <mc:AlternateContent>
          <mc:Choice Requires="wpg">
            <w:drawing>
              <wp:anchor distT="0" distB="0" distL="114300" distR="114300" simplePos="0" relativeHeight="251660288" behindDoc="0" locked="0" layoutInCell="1" allowOverlap="1">
                <wp:simplePos x="0" y="0"/>
                <wp:positionH relativeFrom="column">
                  <wp:posOffset>153670</wp:posOffset>
                </wp:positionH>
                <wp:positionV relativeFrom="paragraph">
                  <wp:posOffset>1697355</wp:posOffset>
                </wp:positionV>
                <wp:extent cx="5104765" cy="260350"/>
                <wp:effectExtent l="127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4765" cy="260350"/>
                          <a:chOff x="-23263" y="14636"/>
                          <a:chExt cx="2953177" cy="260350"/>
                        </a:xfrm>
                      </wpg:grpSpPr>
                      <wps:wsp>
                        <wps:cNvPr id="13" name="Text Box 2"/>
                        <wps:cNvSpPr txBox="1">
                          <a:spLocks noChangeArrowheads="1"/>
                        </wps:cNvSpPr>
                        <wps:spPr bwMode="auto">
                          <a:xfrm>
                            <a:off x="-23263" y="14636"/>
                            <a:ext cx="388962"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7B2" w:rsidRPr="00CB7365" w:rsidRDefault="002177B2" w:rsidP="002177B2">
                              <w:r>
                                <w:t>(a)</w:t>
                              </w:r>
                              <w:r>
                                <w:rPr>
                                  <w:noProof/>
                                  <w:lang w:eastAsia="en-AU"/>
                                </w:rPr>
                                <w:drawing>
                                  <wp:inline distT="0" distB="0" distL="0" distR="0">
                                    <wp:extent cx="533400" cy="20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1627261" y="14636"/>
                            <a:ext cx="1302653"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77B2" w:rsidRPr="00CB7365" w:rsidRDefault="002177B2" w:rsidP="002177B2">
                              <w:r>
                                <w:t xml:space="preserve">(b)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12.1pt;margin-top:133.65pt;width:401.95pt;height:20.5pt;z-index:251660288" coordorigin="-232,146" coordsize="29531,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">
                <v:shapetype id="_x0000_t202" coordsize="21600,21600" o:spt="202" path="m,l,21600r21600,l21600,xe">
                  <v:stroke joinstyle="miter"/>
                  <v:path gradientshapeok="t" o:connecttype="rect"/>
                </v:shapetype>
                <v:shape id="Text Box 2" o:spid="_x0000_s1027" type="#_x0000_t202" style="position:absolute;left:-232;top:146;width:38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2177B2" w:rsidRPr="00CB7365" w:rsidRDefault="002177B2" w:rsidP="002177B2">
                        <w:r>
                          <w:t>(a)</w:t>
                        </w:r>
                        <w:r>
                          <w:rPr>
                            <w:noProof/>
                            <w:lang w:eastAsia="en-AU"/>
                          </w:rPr>
                          <w:drawing>
                            <wp:inline distT="0" distB="0" distL="0" distR="0">
                              <wp:extent cx="533400" cy="2000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p>
                    </w:txbxContent>
                  </v:textbox>
                </v:shape>
                <v:shape id="Text Box 2" o:spid="_x0000_s1028" type="#_x0000_t202" style="position:absolute;left:16272;top:146;width:1302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2177B2" w:rsidRPr="00CB7365" w:rsidRDefault="002177B2" w:rsidP="002177B2">
                        <w:r>
                          <w:t xml:space="preserve">(b) </w:t>
                        </w:r>
                      </w:p>
                    </w:txbxContent>
                  </v:textbox>
                </v:shape>
              </v:group>
            </w:pict>
          </mc:Fallback>
        </mc:AlternateContent>
      </w:r>
      <w:r>
        <w:rPr>
          <w:rFonts w:ascii="Arial" w:eastAsia="Times New Roman" w:hAnsi="Arial" w:cs="Arial"/>
          <w:noProof/>
          <w:sz w:val="20"/>
          <w:szCs w:val="20"/>
          <w:lang w:eastAsia="en-AU"/>
        </w:rPr>
        <w:drawing>
          <wp:inline distT="0" distB="0" distL="0" distR="0">
            <wp:extent cx="5734050" cy="2228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p>
    <w:p w:rsidR="002177B2" w:rsidRPr="002177B2" w:rsidRDefault="002177B2" w:rsidP="002177B2">
      <w:pPr>
        <w:keepNext/>
        <w:keepLines/>
        <w:spacing w:after="0" w:line="252" w:lineRule="auto"/>
        <w:outlineLvl w:val="5"/>
        <w:rPr>
          <w:rFonts w:ascii="Arial" w:eastAsia="SimSun" w:hAnsi="Arial" w:cs="Times New Roman"/>
          <w:bCs/>
          <w:i/>
          <w:iCs/>
          <w:sz w:val="18"/>
          <w:lang w:val="en-GB" w:eastAsia="en-GB"/>
        </w:rPr>
      </w:pPr>
      <w:bookmarkStart w:id="21" w:name="_Ref414372469"/>
      <w:bookmarkStart w:id="22" w:name="_Toc425407256"/>
      <w:proofErr w:type="gramStart"/>
      <w:r w:rsidRPr="002177B2">
        <w:rPr>
          <w:rFonts w:ascii="Arial" w:eastAsia="SimSun" w:hAnsi="Arial" w:cs="Times New Roman"/>
          <w:b/>
          <w:bCs/>
          <w:i/>
          <w:iCs/>
          <w:sz w:val="18"/>
          <w:lang w:val="en-GB" w:eastAsia="en-GB"/>
        </w:rPr>
        <w:t xml:space="preserve">Figure </w:t>
      </w:r>
      <w:r w:rsidRPr="002177B2">
        <w:rPr>
          <w:rFonts w:ascii="Arial" w:eastAsia="SimSun" w:hAnsi="Arial" w:cs="Times New Roman"/>
          <w:b/>
          <w:bCs/>
          <w:i/>
          <w:iCs/>
          <w:sz w:val="18"/>
          <w:lang w:val="en-GB" w:eastAsia="en-GB"/>
        </w:rPr>
        <w:fldChar w:fldCharType="begin"/>
      </w:r>
      <w:r w:rsidRPr="002177B2">
        <w:rPr>
          <w:rFonts w:ascii="Arial" w:eastAsia="SimSun" w:hAnsi="Arial" w:cs="Times New Roman"/>
          <w:b/>
          <w:bCs/>
          <w:i/>
          <w:iCs/>
          <w:sz w:val="18"/>
          <w:lang w:val="en-GB" w:eastAsia="en-GB"/>
        </w:rPr>
        <w:instrText xml:space="preserve"> SEQ Figure \* ARABIC </w:instrText>
      </w:r>
      <w:r w:rsidRPr="002177B2">
        <w:rPr>
          <w:rFonts w:ascii="Arial" w:eastAsia="SimSun" w:hAnsi="Arial" w:cs="Times New Roman"/>
          <w:b/>
          <w:bCs/>
          <w:i/>
          <w:iCs/>
          <w:sz w:val="18"/>
          <w:lang w:val="en-GB" w:eastAsia="en-GB"/>
        </w:rPr>
        <w:fldChar w:fldCharType="separate"/>
      </w:r>
      <w:r w:rsidRPr="002177B2">
        <w:rPr>
          <w:rFonts w:ascii="Arial" w:eastAsia="SimSun" w:hAnsi="Arial" w:cs="Times New Roman"/>
          <w:b/>
          <w:bCs/>
          <w:i/>
          <w:iCs/>
          <w:noProof/>
          <w:sz w:val="18"/>
          <w:lang w:val="en-GB" w:eastAsia="en-GB"/>
        </w:rPr>
        <w:t>18</w:t>
      </w:r>
      <w:r w:rsidRPr="002177B2">
        <w:rPr>
          <w:rFonts w:ascii="Arial" w:eastAsia="SimSun" w:hAnsi="Arial" w:cs="Times New Roman"/>
          <w:b/>
          <w:bCs/>
          <w:i/>
          <w:iCs/>
          <w:noProof/>
          <w:sz w:val="18"/>
          <w:lang w:val="en-GB" w:eastAsia="en-GB"/>
        </w:rPr>
        <w:fldChar w:fldCharType="end"/>
      </w:r>
      <w:bookmarkEnd w:id="21"/>
      <w:r w:rsidRPr="002177B2">
        <w:rPr>
          <w:rFonts w:ascii="Arial" w:eastAsia="SimSun" w:hAnsi="Arial" w:cs="Times New Roman"/>
          <w:b/>
          <w:bCs/>
          <w:i/>
          <w:iCs/>
          <w:sz w:val="18"/>
          <w:lang w:val="en-GB" w:eastAsia="en-GB"/>
        </w:rPr>
        <w:t>.</w:t>
      </w:r>
      <w:proofErr w:type="gramEnd"/>
      <w:r w:rsidRPr="002177B2">
        <w:rPr>
          <w:rFonts w:ascii="Arial" w:eastAsia="SimSun" w:hAnsi="Arial" w:cs="Times New Roman"/>
          <w:bCs/>
          <w:i/>
          <w:iCs/>
          <w:sz w:val="18"/>
          <w:lang w:val="en-GB" w:eastAsia="en-GB"/>
        </w:rPr>
        <w:t xml:space="preserve">  Level Plan at 1500mRL on Copper Hill local grid (a) Isotropic </w:t>
      </w:r>
      <w:proofErr w:type="spellStart"/>
      <w:r w:rsidRPr="002177B2">
        <w:rPr>
          <w:rFonts w:ascii="Arial" w:eastAsia="SimSun" w:hAnsi="Arial" w:cs="Times New Roman"/>
          <w:bCs/>
          <w:i/>
          <w:iCs/>
          <w:sz w:val="18"/>
          <w:lang w:val="en-GB" w:eastAsia="en-GB"/>
        </w:rPr>
        <w:t>isosurfaces</w:t>
      </w:r>
      <w:proofErr w:type="spellEnd"/>
      <w:r w:rsidRPr="002177B2">
        <w:rPr>
          <w:rFonts w:ascii="Arial" w:eastAsia="SimSun" w:hAnsi="Arial" w:cs="Times New Roman"/>
          <w:bCs/>
          <w:i/>
          <w:iCs/>
          <w:sz w:val="18"/>
          <w:lang w:val="en-GB" w:eastAsia="en-GB"/>
        </w:rPr>
        <w:t xml:space="preserve"> at 0.1% Cu (grey) &amp; 0.3%Cu (red), (b) Anisotropic </w:t>
      </w:r>
      <w:proofErr w:type="spellStart"/>
      <w:r w:rsidRPr="002177B2">
        <w:rPr>
          <w:rFonts w:ascii="Arial" w:eastAsia="SimSun" w:hAnsi="Arial" w:cs="Times New Roman"/>
          <w:bCs/>
          <w:i/>
          <w:iCs/>
          <w:sz w:val="18"/>
          <w:lang w:val="en-GB" w:eastAsia="en-GB"/>
        </w:rPr>
        <w:t>isosurfaces</w:t>
      </w:r>
      <w:proofErr w:type="spellEnd"/>
      <w:r w:rsidRPr="002177B2">
        <w:rPr>
          <w:rFonts w:ascii="Arial" w:eastAsia="SimSun" w:hAnsi="Arial" w:cs="Times New Roman"/>
          <w:bCs/>
          <w:i/>
          <w:iCs/>
          <w:sz w:val="18"/>
          <w:lang w:val="en-GB" w:eastAsia="en-GB"/>
        </w:rPr>
        <w:t xml:space="preserve"> at 0.1%Cu (grey) &amp; 0.3% Cu (red).</w:t>
      </w:r>
      <w:bookmarkEnd w:id="22"/>
      <w:r w:rsidRPr="002177B2">
        <w:rPr>
          <w:rFonts w:ascii="Arial" w:eastAsia="SimSun" w:hAnsi="Arial" w:cs="Times New Roman"/>
          <w:bCs/>
          <w:i/>
          <w:iCs/>
          <w:sz w:val="18"/>
          <w:lang w:val="en-GB" w:eastAsia="en-GB"/>
        </w:rPr>
        <w:t xml:space="preserve">  [Blue lines = Regional NW trending structures; Green = E-W trending </w:t>
      </w:r>
      <w:proofErr w:type="spellStart"/>
      <w:r w:rsidRPr="002177B2">
        <w:rPr>
          <w:rFonts w:ascii="Arial" w:eastAsia="SimSun" w:hAnsi="Arial" w:cs="Times New Roman"/>
          <w:bCs/>
          <w:i/>
          <w:iCs/>
          <w:sz w:val="18"/>
          <w:lang w:val="en-GB" w:eastAsia="en-GB"/>
        </w:rPr>
        <w:t>dilational</w:t>
      </w:r>
      <w:proofErr w:type="spellEnd"/>
      <w:r w:rsidRPr="002177B2">
        <w:rPr>
          <w:rFonts w:ascii="Arial" w:eastAsia="SimSun" w:hAnsi="Arial" w:cs="Times New Roman"/>
          <w:bCs/>
          <w:i/>
          <w:iCs/>
          <w:sz w:val="18"/>
          <w:lang w:val="en-GB" w:eastAsia="en-GB"/>
        </w:rPr>
        <w:t xml:space="preserve"> structures; Yellow = Regional N-S trending structures] (Hayward and </w:t>
      </w:r>
      <w:proofErr w:type="spellStart"/>
      <w:r w:rsidRPr="002177B2">
        <w:rPr>
          <w:rFonts w:ascii="Arial" w:eastAsia="SimSun" w:hAnsi="Arial" w:cs="Times New Roman"/>
          <w:bCs/>
          <w:i/>
          <w:iCs/>
          <w:sz w:val="18"/>
          <w:lang w:val="en-GB" w:eastAsia="en-GB"/>
        </w:rPr>
        <w:t>Coianiz</w:t>
      </w:r>
      <w:proofErr w:type="spellEnd"/>
      <w:r w:rsidRPr="002177B2">
        <w:rPr>
          <w:rFonts w:ascii="Arial" w:eastAsia="SimSun" w:hAnsi="Arial" w:cs="Times New Roman"/>
          <w:bCs/>
          <w:i/>
          <w:iCs/>
          <w:sz w:val="18"/>
          <w:lang w:val="en-GB" w:eastAsia="en-GB"/>
        </w:rPr>
        <w:t>, 2015)</w:t>
      </w:r>
    </w:p>
    <w:p w:rsidR="002177B2" w:rsidRPr="002177B2" w:rsidRDefault="002177B2" w:rsidP="002177B2">
      <w:pPr>
        <w:keepNext/>
        <w:keepLines/>
        <w:spacing w:before="120" w:after="120" w:line="252" w:lineRule="auto"/>
        <w:outlineLvl w:val="1"/>
        <w:rPr>
          <w:rFonts w:ascii="Arial" w:eastAsia="SimSun" w:hAnsi="Arial" w:cs="Times New Roman"/>
          <w:b/>
          <w:bCs/>
          <w:sz w:val="24"/>
          <w:szCs w:val="28"/>
          <w:lang w:val="en-GB" w:eastAsia="en-GB"/>
        </w:rPr>
      </w:pPr>
      <w:r w:rsidRPr="002177B2">
        <w:rPr>
          <w:rFonts w:ascii="Arial" w:eastAsia="SimSun" w:hAnsi="Arial" w:cs="Arial"/>
          <w:b/>
          <w:bCs/>
          <w:sz w:val="24"/>
          <w:szCs w:val="20"/>
          <w:lang w:val="en-GB" w:eastAsia="en-GB"/>
        </w:rPr>
        <w:br w:type="page"/>
      </w:r>
      <w:r w:rsidRPr="002177B2">
        <w:rPr>
          <w:rFonts w:ascii="Arial" w:eastAsia="SimSun" w:hAnsi="Arial" w:cs="Times New Roman"/>
          <w:b/>
          <w:bCs/>
          <w:sz w:val="24"/>
          <w:szCs w:val="28"/>
          <w:lang w:val="en-GB" w:eastAsia="en-GB"/>
        </w:rPr>
        <w:lastRenderedPageBreak/>
        <w:t>References</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spellStart"/>
      <w:r w:rsidRPr="002177B2">
        <w:rPr>
          <w:rFonts w:ascii="Arial" w:eastAsia="Times New Roman" w:hAnsi="Arial" w:cs="Arial"/>
          <w:color w:val="000000"/>
          <w:sz w:val="20"/>
          <w:szCs w:val="20"/>
          <w:lang w:val="en-GB" w:eastAsia="en-GB"/>
        </w:rPr>
        <w:t>Blevin</w:t>
      </w:r>
      <w:proofErr w:type="spellEnd"/>
      <w:r w:rsidRPr="002177B2">
        <w:rPr>
          <w:rFonts w:ascii="Arial" w:eastAsia="Times New Roman" w:hAnsi="Arial" w:cs="Arial"/>
          <w:color w:val="000000"/>
          <w:sz w:val="20"/>
          <w:szCs w:val="20"/>
          <w:lang w:val="en-GB" w:eastAsia="en-GB"/>
        </w:rPr>
        <w:t>, P. and Morrison, G. 1997. Magmatic and Hydrothermal Evolution of Major Intrusive Related Gold Deposits, AMIRA Final Report p 425 (unpublished).</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spellStart"/>
      <w:proofErr w:type="gramStart"/>
      <w:r w:rsidRPr="002177B2">
        <w:rPr>
          <w:rFonts w:ascii="Arial" w:eastAsia="Times New Roman" w:hAnsi="Arial" w:cs="Arial"/>
          <w:color w:val="000000"/>
          <w:sz w:val="20"/>
          <w:szCs w:val="20"/>
          <w:lang w:val="en-GB" w:eastAsia="en-GB"/>
        </w:rPr>
        <w:t>Chivas</w:t>
      </w:r>
      <w:proofErr w:type="spellEnd"/>
      <w:r w:rsidRPr="002177B2">
        <w:rPr>
          <w:rFonts w:ascii="Arial" w:eastAsia="Times New Roman" w:hAnsi="Arial" w:cs="Arial"/>
          <w:color w:val="000000"/>
          <w:sz w:val="20"/>
          <w:szCs w:val="20"/>
          <w:lang w:val="en-GB" w:eastAsia="en-GB"/>
        </w:rPr>
        <w:t xml:space="preserve">, A.R. 1971, The Geology of Copper Hill near </w:t>
      </w:r>
      <w:proofErr w:type="spellStart"/>
      <w:r w:rsidRPr="002177B2">
        <w:rPr>
          <w:rFonts w:ascii="Arial" w:eastAsia="Times New Roman" w:hAnsi="Arial" w:cs="Arial"/>
          <w:color w:val="000000"/>
          <w:sz w:val="20"/>
          <w:szCs w:val="20"/>
          <w:lang w:val="en-GB" w:eastAsia="en-GB"/>
        </w:rPr>
        <w:t>Molong</w:t>
      </w:r>
      <w:proofErr w:type="spellEnd"/>
      <w:r w:rsidRPr="002177B2">
        <w:rPr>
          <w:rFonts w:ascii="Arial" w:eastAsia="Times New Roman" w:hAnsi="Arial" w:cs="Arial"/>
          <w:color w:val="000000"/>
          <w:sz w:val="20"/>
          <w:szCs w:val="20"/>
          <w:lang w:val="en-GB" w:eastAsia="en-GB"/>
        </w:rPr>
        <w:t>, NSW.</w:t>
      </w:r>
      <w:proofErr w:type="gramEnd"/>
      <w:r w:rsidRPr="002177B2">
        <w:rPr>
          <w:rFonts w:ascii="Arial" w:eastAsia="Times New Roman" w:hAnsi="Arial" w:cs="Arial"/>
          <w:color w:val="000000"/>
          <w:sz w:val="20"/>
          <w:szCs w:val="20"/>
          <w:lang w:val="en-GB" w:eastAsia="en-GB"/>
        </w:rPr>
        <w:t xml:space="preserve"> BSc (Hons) Thesis, University of Sydney (unpublished).</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spellStart"/>
      <w:r w:rsidRPr="002177B2">
        <w:rPr>
          <w:rFonts w:ascii="Arial" w:eastAsia="Times New Roman" w:hAnsi="Arial" w:cs="Arial"/>
          <w:color w:val="000000"/>
          <w:sz w:val="20"/>
          <w:szCs w:val="20"/>
          <w:lang w:val="en-GB" w:eastAsia="en-GB"/>
        </w:rPr>
        <w:t>Chivas</w:t>
      </w:r>
      <w:proofErr w:type="spellEnd"/>
      <w:r w:rsidRPr="002177B2">
        <w:rPr>
          <w:rFonts w:ascii="Arial" w:eastAsia="Times New Roman" w:hAnsi="Arial" w:cs="Arial"/>
          <w:color w:val="000000"/>
          <w:sz w:val="20"/>
          <w:szCs w:val="20"/>
          <w:lang w:val="en-GB" w:eastAsia="en-GB"/>
        </w:rPr>
        <w:t xml:space="preserve"> A.R., and Nutter A.H. 1975, Copper Hill Porphyry-Copper Prospect in Knight, C.L. (Ed), Economic Geology of Australia and Papua New Guinea, I Metals: </w:t>
      </w:r>
      <w:proofErr w:type="spellStart"/>
      <w:r w:rsidRPr="002177B2">
        <w:rPr>
          <w:rFonts w:ascii="Arial" w:eastAsia="Times New Roman" w:hAnsi="Arial" w:cs="Arial"/>
          <w:color w:val="000000"/>
          <w:sz w:val="20"/>
          <w:szCs w:val="20"/>
          <w:lang w:val="en-GB" w:eastAsia="en-GB"/>
        </w:rPr>
        <w:t>AustIMM</w:t>
      </w:r>
      <w:proofErr w:type="spellEnd"/>
      <w:r w:rsidRPr="002177B2">
        <w:rPr>
          <w:rFonts w:ascii="Arial" w:eastAsia="Times New Roman" w:hAnsi="Arial" w:cs="Arial"/>
          <w:color w:val="000000"/>
          <w:sz w:val="20"/>
          <w:szCs w:val="20"/>
          <w:lang w:val="en-GB" w:eastAsia="en-GB"/>
        </w:rPr>
        <w:t xml:space="preserve"> Monograph 5 pp. 716-720.</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spellStart"/>
      <w:r w:rsidRPr="002177B2">
        <w:rPr>
          <w:rFonts w:ascii="Arial" w:eastAsia="Times New Roman" w:hAnsi="Arial" w:cs="Arial"/>
          <w:color w:val="000000"/>
          <w:sz w:val="20"/>
          <w:szCs w:val="20"/>
          <w:lang w:val="en-GB" w:eastAsia="en-GB"/>
        </w:rPr>
        <w:t>Coianiz</w:t>
      </w:r>
      <w:proofErr w:type="spellEnd"/>
      <w:r w:rsidRPr="002177B2">
        <w:rPr>
          <w:rFonts w:ascii="Arial" w:eastAsia="Times New Roman" w:hAnsi="Arial" w:cs="Arial"/>
          <w:color w:val="000000"/>
          <w:sz w:val="20"/>
          <w:szCs w:val="20"/>
          <w:lang w:val="en-GB" w:eastAsia="en-GB"/>
        </w:rPr>
        <w:t xml:space="preserve">, G. 2014. </w:t>
      </w:r>
      <w:proofErr w:type="gramStart"/>
      <w:r w:rsidRPr="002177B2">
        <w:rPr>
          <w:rFonts w:ascii="Arial" w:eastAsia="Times New Roman" w:hAnsi="Arial" w:cs="Arial"/>
          <w:color w:val="000000"/>
          <w:sz w:val="20"/>
          <w:szCs w:val="20"/>
          <w:lang w:val="en-GB" w:eastAsia="en-GB"/>
        </w:rPr>
        <w:t>Compilation of Orientated Structures from Drill Core at Copper Hill, New South Wales.</w:t>
      </w:r>
      <w:proofErr w:type="gramEnd"/>
      <w:r w:rsidRPr="002177B2">
        <w:rPr>
          <w:rFonts w:ascii="Arial" w:eastAsia="Times New Roman" w:hAnsi="Arial" w:cs="Arial"/>
          <w:color w:val="000000"/>
          <w:sz w:val="20"/>
          <w:szCs w:val="20"/>
          <w:lang w:val="en-GB" w:eastAsia="en-GB"/>
        </w:rPr>
        <w:t xml:space="preserve"> </w:t>
      </w:r>
      <w:proofErr w:type="gramStart"/>
      <w:r w:rsidRPr="002177B2">
        <w:rPr>
          <w:rFonts w:ascii="Arial" w:eastAsia="Times New Roman" w:hAnsi="Arial" w:cs="Arial"/>
          <w:color w:val="000000"/>
          <w:sz w:val="20"/>
          <w:szCs w:val="20"/>
          <w:lang w:val="en-GB" w:eastAsia="en-GB"/>
        </w:rPr>
        <w:t>Unpublished internal memorandum for Golden Cross Resources.</w:t>
      </w:r>
      <w:proofErr w:type="gramEnd"/>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spellStart"/>
      <w:r w:rsidRPr="002177B2">
        <w:rPr>
          <w:rFonts w:ascii="Arial" w:eastAsia="Times New Roman" w:hAnsi="Arial" w:cs="Arial"/>
          <w:color w:val="000000"/>
          <w:sz w:val="20"/>
          <w:szCs w:val="20"/>
          <w:lang w:val="en-GB" w:eastAsia="en-GB"/>
        </w:rPr>
        <w:t>Coianiz</w:t>
      </w:r>
      <w:proofErr w:type="spellEnd"/>
      <w:r w:rsidRPr="002177B2">
        <w:rPr>
          <w:rFonts w:ascii="Arial" w:eastAsia="Times New Roman" w:hAnsi="Arial" w:cs="Arial"/>
          <w:color w:val="000000"/>
          <w:sz w:val="20"/>
          <w:szCs w:val="20"/>
          <w:lang w:val="en-GB" w:eastAsia="en-GB"/>
        </w:rPr>
        <w:t xml:space="preserve">, G. 2015. </w:t>
      </w:r>
      <w:proofErr w:type="gramStart"/>
      <w:r w:rsidRPr="002177B2">
        <w:rPr>
          <w:rFonts w:ascii="Arial" w:eastAsia="Times New Roman" w:hAnsi="Arial" w:cs="Arial"/>
          <w:color w:val="000000"/>
          <w:sz w:val="20"/>
          <w:szCs w:val="20"/>
          <w:lang w:val="en-GB" w:eastAsia="en-GB"/>
        </w:rPr>
        <w:t>Review of Structural Trends from the Recorded Oriented Structures at Copper Hill.</w:t>
      </w:r>
      <w:proofErr w:type="gramEnd"/>
      <w:r w:rsidRPr="002177B2">
        <w:rPr>
          <w:rFonts w:ascii="Arial" w:eastAsia="Times New Roman" w:hAnsi="Arial" w:cs="Arial"/>
          <w:color w:val="000000"/>
          <w:sz w:val="20"/>
          <w:szCs w:val="20"/>
          <w:lang w:val="en-GB" w:eastAsia="en-GB"/>
        </w:rPr>
        <w:t xml:space="preserve"> </w:t>
      </w:r>
      <w:proofErr w:type="gramStart"/>
      <w:r w:rsidRPr="002177B2">
        <w:rPr>
          <w:rFonts w:ascii="Arial" w:eastAsia="Times New Roman" w:hAnsi="Arial" w:cs="Arial"/>
          <w:color w:val="000000"/>
          <w:sz w:val="20"/>
          <w:szCs w:val="20"/>
          <w:lang w:val="en-GB" w:eastAsia="en-GB"/>
        </w:rPr>
        <w:t>Unpublished internal memorandum for Golden Cross Resources.</w:t>
      </w:r>
      <w:proofErr w:type="gramEnd"/>
      <w:r w:rsidRPr="002177B2">
        <w:rPr>
          <w:rFonts w:ascii="Arial" w:eastAsia="Times New Roman" w:hAnsi="Arial" w:cs="Arial"/>
          <w:color w:val="000000"/>
          <w:sz w:val="20"/>
          <w:szCs w:val="20"/>
          <w:lang w:val="en-GB" w:eastAsia="en-GB"/>
        </w:rPr>
        <w:t xml:space="preserve"> </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 xml:space="preserve">Corbett, G.J. 2006, Comments on the geology arising from a brief inspection, or the Copper Hill Project, New South Wales, Australia: Unpublished report to Golden Cross Resources. </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 xml:space="preserve">Corbett, G.J. 2013a, Comments arising from a brief inspection of the Copper Hill Project: Unpublished report to Heron Resources. </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proofErr w:type="gramStart"/>
      <w:r w:rsidRPr="002177B2">
        <w:rPr>
          <w:rFonts w:ascii="Arial" w:eastAsia="Times New Roman" w:hAnsi="Arial" w:cs="Arial"/>
          <w:color w:val="000000"/>
          <w:sz w:val="20"/>
          <w:szCs w:val="20"/>
          <w:lang w:val="en-GB" w:eastAsia="en-GB"/>
        </w:rPr>
        <w:t xml:space="preserve">Corbett, G.J. 2013b, </w:t>
      </w:r>
      <w:proofErr w:type="spellStart"/>
      <w:r w:rsidRPr="002177B2">
        <w:rPr>
          <w:rFonts w:ascii="Arial" w:eastAsia="Times New Roman" w:hAnsi="Arial" w:cs="Arial"/>
          <w:color w:val="000000"/>
          <w:sz w:val="20"/>
          <w:szCs w:val="20"/>
          <w:lang w:val="en-GB" w:eastAsia="en-GB"/>
        </w:rPr>
        <w:t>Tasmanides</w:t>
      </w:r>
      <w:proofErr w:type="spellEnd"/>
      <w:r w:rsidRPr="002177B2">
        <w:rPr>
          <w:rFonts w:ascii="Arial" w:eastAsia="Times New Roman" w:hAnsi="Arial" w:cs="Arial"/>
          <w:color w:val="000000"/>
          <w:sz w:val="20"/>
          <w:szCs w:val="20"/>
          <w:lang w:val="en-GB" w:eastAsia="en-GB"/>
        </w:rPr>
        <w:t xml:space="preserve"> Arc-style Au-Cu Mineralisation, in a Pacific Rim Context.</w:t>
      </w:r>
      <w:proofErr w:type="gramEnd"/>
      <w:r w:rsidRPr="002177B2">
        <w:rPr>
          <w:rFonts w:ascii="Arial" w:eastAsia="Times New Roman" w:hAnsi="Arial" w:cs="Arial"/>
          <w:color w:val="000000"/>
          <w:sz w:val="20"/>
          <w:szCs w:val="20"/>
          <w:lang w:val="en-GB" w:eastAsia="en-GB"/>
        </w:rPr>
        <w:t xml:space="preserve"> Mine and Wines 2013, AIG</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Corbett, G.J. 2014, Epithermal and porphyry ore deposits: Field aspects for exploration geologists – Short course notes (unpublished).</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Corbett, G.J. and Leach, T.M., 1998, Southwest Pacific gold-copper systems: Structure, alteration and mineralization: Special Publication 6, Society of Economic Geologists, 238</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 xml:space="preserve">Foster, D.A., </w:t>
      </w:r>
      <w:proofErr w:type="spellStart"/>
      <w:r w:rsidRPr="002177B2">
        <w:rPr>
          <w:rFonts w:ascii="Arial" w:eastAsia="Times New Roman" w:hAnsi="Arial" w:cs="Arial"/>
          <w:color w:val="000000"/>
          <w:sz w:val="20"/>
          <w:szCs w:val="20"/>
          <w:lang w:val="en-GB" w:eastAsia="en-GB"/>
        </w:rPr>
        <w:t>Gray</w:t>
      </w:r>
      <w:proofErr w:type="spellEnd"/>
      <w:r w:rsidRPr="002177B2">
        <w:rPr>
          <w:rFonts w:ascii="Arial" w:eastAsia="Times New Roman" w:hAnsi="Arial" w:cs="Arial"/>
          <w:color w:val="000000"/>
          <w:sz w:val="20"/>
          <w:szCs w:val="20"/>
          <w:lang w:val="en-GB" w:eastAsia="en-GB"/>
        </w:rPr>
        <w:t xml:space="preserve">, D.R., and Bucher, M. 1999. Chronology of deformation within the </w:t>
      </w:r>
      <w:proofErr w:type="spellStart"/>
      <w:r w:rsidRPr="002177B2">
        <w:rPr>
          <w:rFonts w:ascii="Arial" w:eastAsia="Times New Roman" w:hAnsi="Arial" w:cs="Arial"/>
          <w:color w:val="000000"/>
          <w:sz w:val="20"/>
          <w:szCs w:val="20"/>
          <w:lang w:val="en-GB" w:eastAsia="en-GB"/>
        </w:rPr>
        <w:t>turbidite</w:t>
      </w:r>
      <w:proofErr w:type="spellEnd"/>
      <w:r w:rsidRPr="002177B2">
        <w:rPr>
          <w:rFonts w:ascii="Arial" w:eastAsia="Times New Roman" w:hAnsi="Arial" w:cs="Arial"/>
          <w:color w:val="000000"/>
          <w:sz w:val="20"/>
          <w:szCs w:val="20"/>
          <w:lang w:val="en-GB" w:eastAsia="en-GB"/>
        </w:rPr>
        <w:t xml:space="preserve">-dominated, Lachlan </w:t>
      </w:r>
      <w:proofErr w:type="spellStart"/>
      <w:r w:rsidRPr="002177B2">
        <w:rPr>
          <w:rFonts w:ascii="Arial" w:eastAsia="Times New Roman" w:hAnsi="Arial" w:cs="Arial"/>
          <w:color w:val="000000"/>
          <w:sz w:val="20"/>
          <w:szCs w:val="20"/>
          <w:lang w:val="en-GB" w:eastAsia="en-GB"/>
        </w:rPr>
        <w:t>Orogen</w:t>
      </w:r>
      <w:proofErr w:type="spellEnd"/>
      <w:r w:rsidRPr="002177B2">
        <w:rPr>
          <w:rFonts w:ascii="Arial" w:eastAsia="Times New Roman" w:hAnsi="Arial" w:cs="Arial"/>
          <w:color w:val="000000"/>
          <w:sz w:val="20"/>
          <w:szCs w:val="20"/>
          <w:lang w:val="en-GB" w:eastAsia="en-GB"/>
        </w:rPr>
        <w:t xml:space="preserve">: Implications for the tectonic evolution of eastern Australia and </w:t>
      </w:r>
      <w:proofErr w:type="spellStart"/>
      <w:r w:rsidRPr="002177B2">
        <w:rPr>
          <w:rFonts w:ascii="Arial" w:eastAsia="Times New Roman" w:hAnsi="Arial" w:cs="Arial"/>
          <w:color w:val="000000"/>
          <w:sz w:val="20"/>
          <w:szCs w:val="20"/>
          <w:lang w:val="en-GB" w:eastAsia="en-GB"/>
        </w:rPr>
        <w:t>Gondwana</w:t>
      </w:r>
      <w:proofErr w:type="spellEnd"/>
      <w:r w:rsidRPr="002177B2">
        <w:rPr>
          <w:rFonts w:ascii="Arial" w:eastAsia="Times New Roman" w:hAnsi="Arial" w:cs="Arial"/>
          <w:color w:val="000000"/>
          <w:sz w:val="20"/>
          <w:szCs w:val="20"/>
          <w:lang w:val="en-GB" w:eastAsia="en-GB"/>
        </w:rPr>
        <w:t>. Tectonics, 18, 452–485.</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Golden Cross Resources, Quarterly Report December 2014. 14p.</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 xml:space="preserve">Hoy, J.L. 2007, </w:t>
      </w:r>
      <w:proofErr w:type="gramStart"/>
      <w:r w:rsidRPr="002177B2">
        <w:rPr>
          <w:rFonts w:ascii="Arial" w:eastAsia="Times New Roman" w:hAnsi="Arial" w:cs="Arial"/>
          <w:color w:val="000000"/>
          <w:sz w:val="20"/>
          <w:szCs w:val="20"/>
          <w:lang w:val="en-GB" w:eastAsia="en-GB"/>
        </w:rPr>
        <w:t>The</w:t>
      </w:r>
      <w:proofErr w:type="gramEnd"/>
      <w:r w:rsidRPr="002177B2">
        <w:rPr>
          <w:rFonts w:ascii="Arial" w:eastAsia="Times New Roman" w:hAnsi="Arial" w:cs="Arial"/>
          <w:color w:val="000000"/>
          <w:sz w:val="20"/>
          <w:szCs w:val="20"/>
          <w:lang w:val="en-GB" w:eastAsia="en-GB"/>
        </w:rPr>
        <w:t xml:space="preserve"> geology, alteration, mineralization, and structure of the Copper Hill porphyry system, New South Wales. </w:t>
      </w:r>
      <w:proofErr w:type="gramStart"/>
      <w:r w:rsidRPr="002177B2">
        <w:rPr>
          <w:rFonts w:ascii="Arial" w:eastAsia="Times New Roman" w:hAnsi="Arial" w:cs="Arial"/>
          <w:color w:val="000000"/>
          <w:sz w:val="20"/>
          <w:szCs w:val="20"/>
          <w:lang w:val="en-GB" w:eastAsia="en-GB"/>
        </w:rPr>
        <w:t>Unpublished Honours Thesis, University of Wollongong.</w:t>
      </w:r>
      <w:proofErr w:type="gramEnd"/>
    </w:p>
    <w:p w:rsidR="002177B2" w:rsidRPr="002177B2" w:rsidRDefault="002177B2" w:rsidP="002177B2">
      <w:pPr>
        <w:spacing w:after="160" w:line="252" w:lineRule="auto"/>
        <w:ind w:left="567" w:hanging="567"/>
        <w:rPr>
          <w:rFonts w:ascii="Arial" w:eastAsia="Times New Roman" w:hAnsi="Arial" w:cs="Times New Roman"/>
          <w:color w:val="000000"/>
          <w:sz w:val="20"/>
          <w:lang w:val="en-GB" w:eastAsia="en-GB"/>
        </w:rPr>
      </w:pPr>
      <w:proofErr w:type="gramStart"/>
      <w:r w:rsidRPr="002177B2">
        <w:rPr>
          <w:rFonts w:ascii="Arial" w:eastAsia="Times New Roman" w:hAnsi="Arial" w:cs="Times New Roman"/>
          <w:i/>
          <w:iCs/>
          <w:color w:val="000000"/>
          <w:sz w:val="20"/>
          <w:lang w:val="en-GB" w:eastAsia="en-GB"/>
        </w:rPr>
        <w:t>JORC</w:t>
      </w:r>
      <w:r w:rsidRPr="002177B2">
        <w:rPr>
          <w:rFonts w:ascii="Arial" w:eastAsia="Times New Roman" w:hAnsi="Arial" w:cs="Times New Roman"/>
          <w:color w:val="000000"/>
          <w:sz w:val="20"/>
          <w:lang w:val="en-GB" w:eastAsia="en-GB"/>
        </w:rPr>
        <w:t>, 2012.</w:t>
      </w:r>
      <w:proofErr w:type="gramEnd"/>
      <w:r w:rsidRPr="002177B2">
        <w:rPr>
          <w:rFonts w:ascii="Arial" w:eastAsia="Times New Roman" w:hAnsi="Arial" w:cs="Times New Roman"/>
          <w:color w:val="000000"/>
          <w:sz w:val="20"/>
          <w:lang w:val="en-GB" w:eastAsia="en-GB"/>
        </w:rPr>
        <w:t xml:space="preserve"> </w:t>
      </w:r>
      <w:proofErr w:type="gramStart"/>
      <w:r w:rsidRPr="002177B2">
        <w:rPr>
          <w:rFonts w:ascii="Arial" w:eastAsia="Times New Roman" w:hAnsi="Arial" w:cs="Times New Roman"/>
          <w:color w:val="000000"/>
          <w:sz w:val="20"/>
          <w:lang w:val="en-GB" w:eastAsia="en-GB"/>
        </w:rPr>
        <w:t xml:space="preserve">Australasian </w:t>
      </w:r>
      <w:r w:rsidRPr="002177B2">
        <w:rPr>
          <w:rFonts w:ascii="Arial" w:eastAsia="Times New Roman" w:hAnsi="Arial" w:cs="Times New Roman"/>
          <w:i/>
          <w:iCs/>
          <w:color w:val="000000"/>
          <w:sz w:val="20"/>
          <w:lang w:val="en-GB" w:eastAsia="en-GB"/>
        </w:rPr>
        <w:t>Code</w:t>
      </w:r>
      <w:r w:rsidRPr="002177B2">
        <w:rPr>
          <w:rFonts w:ascii="Arial" w:eastAsia="Times New Roman" w:hAnsi="Arial" w:cs="Times New Roman"/>
          <w:color w:val="000000"/>
          <w:sz w:val="20"/>
          <w:lang w:val="en-GB" w:eastAsia="en-GB"/>
        </w:rPr>
        <w:t xml:space="preserve"> for Reporting of Exploration Results, Mineral Resources and Ore Reserves.</w:t>
      </w:r>
      <w:proofErr w:type="gramEnd"/>
    </w:p>
    <w:p w:rsidR="002177B2" w:rsidRPr="002177B2" w:rsidRDefault="002177B2" w:rsidP="002177B2">
      <w:pPr>
        <w:spacing w:after="160" w:line="252" w:lineRule="auto"/>
        <w:ind w:left="567" w:hanging="567"/>
        <w:rPr>
          <w:rFonts w:ascii="Arial" w:eastAsia="Times New Roman" w:hAnsi="Arial" w:cs="Times New Roman"/>
          <w:i/>
          <w:iCs/>
          <w:color w:val="000000"/>
          <w:sz w:val="20"/>
          <w:lang w:val="en-GB" w:eastAsia="en-GB"/>
        </w:rPr>
      </w:pPr>
      <w:proofErr w:type="spellStart"/>
      <w:r w:rsidRPr="002177B2">
        <w:rPr>
          <w:rFonts w:ascii="Arial" w:eastAsia="Times New Roman" w:hAnsi="Arial" w:cs="Times New Roman"/>
          <w:i/>
          <w:iCs/>
          <w:color w:val="000000"/>
          <w:sz w:val="20"/>
          <w:lang w:val="en-GB" w:eastAsia="en-GB"/>
        </w:rPr>
        <w:t>Mowat</w:t>
      </w:r>
      <w:proofErr w:type="spellEnd"/>
      <w:r w:rsidRPr="002177B2">
        <w:rPr>
          <w:rFonts w:ascii="Arial" w:eastAsia="Times New Roman" w:hAnsi="Arial" w:cs="Times New Roman"/>
          <w:i/>
          <w:iCs/>
          <w:color w:val="000000"/>
          <w:sz w:val="20"/>
          <w:lang w:val="en-GB" w:eastAsia="en-GB"/>
        </w:rPr>
        <w:t xml:space="preserve">, B., and Smith, S. 2006. </w:t>
      </w:r>
      <w:proofErr w:type="gramStart"/>
      <w:r w:rsidRPr="002177B2">
        <w:rPr>
          <w:rFonts w:ascii="Arial" w:eastAsia="Times New Roman" w:hAnsi="Arial" w:cs="Times New Roman"/>
          <w:i/>
          <w:iCs/>
          <w:color w:val="000000"/>
          <w:sz w:val="20"/>
          <w:lang w:val="en-GB" w:eastAsia="en-GB"/>
        </w:rPr>
        <w:t>Characteristics of porphyry Au-Cu systems in the Ordovician Macquarie Arc of NSW.</w:t>
      </w:r>
      <w:proofErr w:type="gramEnd"/>
      <w:r w:rsidRPr="002177B2">
        <w:rPr>
          <w:rFonts w:ascii="Arial" w:eastAsia="Times New Roman" w:hAnsi="Arial" w:cs="Times New Roman"/>
          <w:i/>
          <w:iCs/>
          <w:color w:val="000000"/>
          <w:sz w:val="20"/>
          <w:lang w:val="en-GB" w:eastAsia="en-GB"/>
        </w:rPr>
        <w:t xml:space="preserve"> </w:t>
      </w:r>
      <w:proofErr w:type="gramStart"/>
      <w:r w:rsidRPr="002177B2">
        <w:rPr>
          <w:rFonts w:ascii="Arial" w:eastAsia="Times New Roman" w:hAnsi="Arial" w:cs="Times New Roman"/>
          <w:i/>
          <w:iCs/>
          <w:color w:val="000000"/>
          <w:sz w:val="20"/>
          <w:lang w:val="en-GB" w:eastAsia="en-GB"/>
        </w:rPr>
        <w:t xml:space="preserve">In </w:t>
      </w:r>
      <w:proofErr w:type="spellStart"/>
      <w:r w:rsidRPr="002177B2">
        <w:rPr>
          <w:rFonts w:ascii="Arial" w:eastAsia="Times New Roman" w:hAnsi="Arial" w:cs="Times New Roman"/>
          <w:i/>
          <w:iCs/>
          <w:color w:val="000000"/>
          <w:sz w:val="20"/>
          <w:lang w:val="en-GB" w:eastAsia="en-GB"/>
        </w:rPr>
        <w:t>Lewis.P.C</w:t>
      </w:r>
      <w:proofErr w:type="spellEnd"/>
      <w:r w:rsidRPr="002177B2">
        <w:rPr>
          <w:rFonts w:ascii="Arial" w:eastAsia="Times New Roman" w:hAnsi="Arial" w:cs="Times New Roman"/>
          <w:i/>
          <w:iCs/>
          <w:color w:val="000000"/>
          <w:sz w:val="20"/>
          <w:lang w:val="en-GB" w:eastAsia="en-GB"/>
        </w:rPr>
        <w:t>.</w:t>
      </w:r>
      <w:proofErr w:type="gramEnd"/>
      <w:r w:rsidRPr="002177B2">
        <w:rPr>
          <w:rFonts w:ascii="Arial" w:eastAsia="Times New Roman" w:hAnsi="Arial" w:cs="Times New Roman"/>
          <w:i/>
          <w:iCs/>
          <w:color w:val="000000"/>
          <w:sz w:val="20"/>
          <w:lang w:val="en-GB" w:eastAsia="en-GB"/>
        </w:rPr>
        <w:t xml:space="preserve"> ed. Mineral Exploration Geoscience in New South Wales, Mines and Wines Conference, Cessnock, NSW.SMEDG, pp.11-17.</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 xml:space="preserve">Percival, I.G., Glen, R.A. 2007, Ordovician to earliest Silurian history of the Macquarie Arc, Lachlan </w:t>
      </w:r>
      <w:proofErr w:type="spellStart"/>
      <w:r w:rsidRPr="002177B2">
        <w:rPr>
          <w:rFonts w:ascii="Arial" w:eastAsia="Times New Roman" w:hAnsi="Arial" w:cs="Arial"/>
          <w:color w:val="000000"/>
          <w:sz w:val="20"/>
          <w:szCs w:val="20"/>
          <w:lang w:val="en-GB" w:eastAsia="en-GB"/>
        </w:rPr>
        <w:t>Orogen</w:t>
      </w:r>
      <w:proofErr w:type="spellEnd"/>
      <w:r w:rsidRPr="002177B2">
        <w:rPr>
          <w:rFonts w:ascii="Arial" w:eastAsia="Times New Roman" w:hAnsi="Arial" w:cs="Arial"/>
          <w:color w:val="000000"/>
          <w:sz w:val="20"/>
          <w:szCs w:val="20"/>
          <w:lang w:val="en-GB" w:eastAsia="en-GB"/>
        </w:rPr>
        <w:t>, New South Wales, Australian Journal of Earth Sciences, 23p.</w:t>
      </w:r>
    </w:p>
    <w:p w:rsidR="002177B2" w:rsidRPr="002177B2" w:rsidRDefault="002177B2" w:rsidP="002177B2">
      <w:pPr>
        <w:spacing w:after="160" w:line="252" w:lineRule="auto"/>
        <w:ind w:left="567" w:hanging="567"/>
        <w:rPr>
          <w:rFonts w:ascii="Arial" w:eastAsia="Times New Roman" w:hAnsi="Arial" w:cs="Arial"/>
          <w:color w:val="000000"/>
          <w:sz w:val="20"/>
          <w:szCs w:val="20"/>
          <w:lang w:val="en-GB" w:eastAsia="en-GB"/>
        </w:rPr>
      </w:pPr>
      <w:r w:rsidRPr="002177B2">
        <w:rPr>
          <w:rFonts w:ascii="Arial" w:eastAsia="Times New Roman" w:hAnsi="Arial" w:cs="Arial"/>
          <w:color w:val="000000"/>
          <w:sz w:val="20"/>
          <w:szCs w:val="20"/>
          <w:lang w:val="en-GB" w:eastAsia="en-GB"/>
        </w:rPr>
        <w:t>Ridley, J.A. 2015, Report on Resource Estimation for Copper Hill Project, Consultant report by Ridley Mineral Resource Consulting Pty Ltd for Golden Cross Resources (unpublished)</w:t>
      </w:r>
    </w:p>
    <w:p w:rsidR="002177B2" w:rsidRPr="002177B2" w:rsidRDefault="002177B2" w:rsidP="002177B2">
      <w:pPr>
        <w:spacing w:after="160" w:line="252" w:lineRule="auto"/>
        <w:ind w:left="567" w:hanging="567"/>
        <w:rPr>
          <w:rFonts w:ascii="Arial" w:eastAsia="Times New Roman" w:hAnsi="Arial" w:cs="Arial"/>
          <w:sz w:val="20"/>
          <w:szCs w:val="20"/>
          <w:lang w:val="en-GB" w:eastAsia="en-GB"/>
        </w:rPr>
      </w:pPr>
      <w:proofErr w:type="gramStart"/>
      <w:r w:rsidRPr="002177B2">
        <w:rPr>
          <w:rFonts w:ascii="Arial" w:eastAsia="Times New Roman" w:hAnsi="Arial" w:cs="Arial"/>
          <w:color w:val="000000"/>
          <w:sz w:val="20"/>
          <w:szCs w:val="20"/>
          <w:lang w:val="en-GB" w:eastAsia="en-GB"/>
        </w:rPr>
        <w:t>Wilson, A.J. 2003.</w:t>
      </w:r>
      <w:proofErr w:type="gramEnd"/>
      <w:r w:rsidRPr="002177B2">
        <w:rPr>
          <w:rFonts w:ascii="Arial" w:eastAsia="Times New Roman" w:hAnsi="Arial" w:cs="Arial"/>
          <w:color w:val="000000"/>
          <w:sz w:val="20"/>
          <w:szCs w:val="20"/>
          <w:lang w:val="en-GB" w:eastAsia="en-GB"/>
        </w:rPr>
        <w:t xml:space="preserve"> </w:t>
      </w:r>
      <w:proofErr w:type="gramStart"/>
      <w:r w:rsidRPr="002177B2">
        <w:rPr>
          <w:rFonts w:ascii="Arial" w:eastAsia="Times New Roman" w:hAnsi="Arial" w:cs="Arial"/>
          <w:color w:val="000000"/>
          <w:sz w:val="20"/>
          <w:szCs w:val="20"/>
          <w:lang w:val="en-GB" w:eastAsia="en-GB"/>
        </w:rPr>
        <w:t xml:space="preserve">The geology, genesis and exploration context of the </w:t>
      </w:r>
      <w:proofErr w:type="spellStart"/>
      <w:r w:rsidRPr="002177B2">
        <w:rPr>
          <w:rFonts w:ascii="Arial" w:eastAsia="Times New Roman" w:hAnsi="Arial" w:cs="Arial"/>
          <w:color w:val="000000"/>
          <w:sz w:val="20"/>
          <w:szCs w:val="20"/>
          <w:lang w:val="en-GB" w:eastAsia="en-GB"/>
        </w:rPr>
        <w:t>Cadia</w:t>
      </w:r>
      <w:proofErr w:type="spellEnd"/>
      <w:r w:rsidRPr="002177B2">
        <w:rPr>
          <w:rFonts w:ascii="Arial" w:eastAsia="Times New Roman" w:hAnsi="Arial" w:cs="Arial"/>
          <w:color w:val="000000"/>
          <w:sz w:val="20"/>
          <w:szCs w:val="20"/>
          <w:lang w:val="en-GB" w:eastAsia="en-GB"/>
        </w:rPr>
        <w:t xml:space="preserve"> gold copper porphyry deposits, New South Wales, Australia.</w:t>
      </w:r>
      <w:proofErr w:type="gramEnd"/>
      <w:r w:rsidRPr="002177B2">
        <w:rPr>
          <w:rFonts w:ascii="Arial" w:eastAsia="Times New Roman" w:hAnsi="Arial" w:cs="Arial"/>
          <w:color w:val="000000"/>
          <w:sz w:val="20"/>
          <w:szCs w:val="20"/>
          <w:lang w:val="en-GB" w:eastAsia="en-GB"/>
        </w:rPr>
        <w:t xml:space="preserve"> PhD. Thesis, University of Tasmania (unpublished).</w:t>
      </w:r>
    </w:p>
    <w:p w:rsidR="008C3D11" w:rsidRDefault="008C3D11">
      <w:bookmarkStart w:id="23" w:name="_GoBack"/>
      <w:bookmarkEnd w:id="23"/>
    </w:p>
    <w:sectPr w:rsidR="008C3D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73836"/>
    <w:multiLevelType w:val="hybridMultilevel"/>
    <w:tmpl w:val="94A4CC6C"/>
    <w:lvl w:ilvl="0" w:tplc="CFD8148C">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67F01EA6"/>
    <w:multiLevelType w:val="hybridMultilevel"/>
    <w:tmpl w:val="DE9CB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7B2"/>
    <w:rsid w:val="002177B2"/>
    <w:rsid w:val="008C3D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7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7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7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5296</Words>
  <Characters>30193</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1</cp:revision>
  <dcterms:created xsi:type="dcterms:W3CDTF">2015-09-14T00:26:00Z</dcterms:created>
  <dcterms:modified xsi:type="dcterms:W3CDTF">2015-09-14T00:27:00Z</dcterms:modified>
</cp:coreProperties>
</file>